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eastAsia="zh-CN"/>
        </w:rPr>
        <w:t>附件</w:t>
      </w:r>
      <w:r>
        <w:rPr>
          <w:rFonts w:hint="default" w:ascii="Times New Roman" w:hAnsi="Times New Roman" w:eastAsia="黑体" w:cs="Times New Roman"/>
          <w:sz w:val="32"/>
          <w:szCs w:val="32"/>
          <w:highlight w:val="none"/>
          <w:u w:val="none"/>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新疆维吾尔自治区</w:t>
      </w:r>
      <w:r>
        <w:rPr>
          <w:rFonts w:hint="default" w:ascii="Times New Roman" w:hAnsi="Times New Roman" w:eastAsia="方正小标宋简体" w:cs="Times New Roman"/>
          <w:sz w:val="44"/>
          <w:szCs w:val="44"/>
          <w:highlight w:val="none"/>
          <w:u w:val="none"/>
        </w:rPr>
        <w:t>202</w:t>
      </w:r>
      <w:r>
        <w:rPr>
          <w:rFonts w:hint="default" w:ascii="Times New Roman" w:hAnsi="Times New Roman" w:eastAsia="方正小标宋简体" w:cs="Times New Roman"/>
          <w:sz w:val="44"/>
          <w:szCs w:val="44"/>
          <w:highlight w:val="none"/>
          <w:u w:val="none"/>
          <w:lang w:val="en-US" w:eastAsia="zh-CN"/>
        </w:rPr>
        <w:t>6</w:t>
      </w:r>
      <w:r>
        <w:rPr>
          <w:rFonts w:hint="eastAsia" w:ascii="方正小标宋简体" w:hAnsi="方正小标宋简体" w:eastAsia="方正小标宋简体" w:cs="方正小标宋简体"/>
          <w:sz w:val="44"/>
          <w:szCs w:val="44"/>
          <w:highlight w:val="none"/>
          <w:u w:val="none"/>
        </w:rPr>
        <w:t>年度面向社会公开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考试录用公务员公共科目笔试考试大纲</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公共科目笔试是公务员录用工作的重要环节，为便于报考者充分了解新疆维吾尔自治区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年度面向社会公开考试录用公务员公共科目笔试，特制定本大纲。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公共科目笔试内容坚持思想引领，突出公务员的政治标准和政治属性，重点测查用党的创新理论指导分析和解决问题的能力，教育引导报考者自觉做习近平新时代中国特色社会主义思想的坚定信仰者和忠实实践者</w:t>
      </w:r>
      <w:r>
        <w:rPr>
          <w:rFonts w:hint="eastAsia" w:ascii="仿宋_GB2312" w:hAnsi="仿宋_GB2312" w:eastAsia="仿宋_GB2312" w:cs="仿宋_GB2312"/>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none"/>
        </w:rPr>
        <w:t>注重能力导向，主要测查从事公务员工作应当具备的基本能力和基本素质，教育引导报考者注重平时学习积累和能力提升；实行分类分级，突出人事相宜，根据不同职位类别、不同层级机关的特点分别设置，提高测评的科学性精准性；坚持公平公正，对各类报考者一视同仁，试题使用素材具有通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highlight w:val="none"/>
          <w:u w:val="none"/>
        </w:rPr>
      </w:pPr>
      <w:r>
        <w:rPr>
          <w:rFonts w:hint="eastAsia" w:ascii="仿宋_GB2312" w:hAnsi="仿宋_GB2312" w:eastAsia="仿宋_GB2312" w:cs="仿宋_GB2312"/>
          <w:spacing w:val="0"/>
          <w:sz w:val="32"/>
          <w:szCs w:val="32"/>
          <w:highlight w:val="none"/>
          <w:u w:val="none"/>
        </w:rPr>
        <w:t>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年度面向社会公开考试录用公务员公共科目笔试分为行政职业能力测验和申论两科，全部采用闭卷考试的方式。其中，行政职业能力测验为客观性试题，</w:t>
      </w:r>
      <w:r>
        <w:rPr>
          <w:rFonts w:hint="default" w:ascii="Times New Roman" w:hAnsi="Times New Roman" w:eastAsia="仿宋_GB2312" w:cs="Times New Roman"/>
          <w:spacing w:val="0"/>
          <w:sz w:val="32"/>
          <w:szCs w:val="32"/>
          <w:highlight w:val="none"/>
          <w:u w:val="none"/>
        </w:rPr>
        <w:t>考试时限120分钟，满分100分</w:t>
      </w:r>
      <w:r>
        <w:rPr>
          <w:rFonts w:hint="eastAsia"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rPr>
        <w:t>申论为主观性试题，考试时限150分钟，满分100分。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一、行政职业能力测验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常识判断、言语理解与表达、数量关系、判断推理和资料分析等部分。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（一）政治理论</w:t>
      </w:r>
    </w:p>
    <w:p>
      <w:pPr>
        <w:keepNext w:val="0"/>
        <w:keepLines w:val="0"/>
        <w:pageBreakBefore w:val="0"/>
        <w:widowControl w:val="0"/>
        <w:kinsoku/>
        <w:wordWrap/>
        <w:overflowPunct/>
        <w:topLinePunct w:val="0"/>
        <w:autoSpaceDE/>
        <w:autoSpaceDN/>
        <w:bidi w:val="0"/>
        <w:adjustRightInd/>
        <w:snapToGrid/>
        <w:spacing w:line="600" w:lineRule="exact"/>
        <w:ind w:firstLine="618" w:firstLineChars="200"/>
        <w:textAlignment w:val="auto"/>
        <w:rPr>
          <w:rFonts w:hint="eastAsia" w:ascii="仿宋_GB2312" w:hAnsi="仿宋_GB2312" w:eastAsia="仿宋_GB2312" w:cs="仿宋_GB2312"/>
          <w:sz w:val="32"/>
          <w:szCs w:val="32"/>
          <w:highlight w:val="none"/>
          <w:u w:val="none"/>
        </w:rPr>
      </w:pPr>
      <w:r>
        <w:rPr>
          <w:rFonts w:hint="default" w:ascii="Times New Roman" w:hAnsi="Times New Roman" w:eastAsia="仿宋_GB2312" w:cs="Times New Roman"/>
          <w:b/>
          <w:bCs/>
          <w:spacing w:val="-6"/>
          <w:sz w:val="32"/>
          <w:szCs w:val="32"/>
          <w:highlight w:val="none"/>
          <w:u w:val="none"/>
          <w:lang w:val="en-US" w:eastAsia="zh-CN"/>
        </w:rPr>
        <w:t>1.</w:t>
      </w:r>
      <w:r>
        <w:rPr>
          <w:rFonts w:hint="eastAsia" w:ascii="Times New Roman" w:hAnsi="Times New Roman" w:eastAsia="仿宋_GB2312" w:cs="Times New Roman"/>
          <w:b/>
          <w:bCs/>
          <w:spacing w:val="-6"/>
          <w:sz w:val="32"/>
          <w:szCs w:val="32"/>
          <w:highlight w:val="none"/>
          <w:u w:val="none"/>
          <w:lang w:val="en-US" w:eastAsia="zh-CN"/>
        </w:rPr>
        <w:t xml:space="preserve"> </w:t>
      </w:r>
      <w:r>
        <w:rPr>
          <w:rFonts w:hint="default" w:ascii="Times New Roman" w:hAnsi="Times New Roman" w:eastAsia="仿宋_GB2312" w:cs="Times New Roman"/>
          <w:b/>
          <w:bCs/>
          <w:spacing w:val="-6"/>
          <w:sz w:val="32"/>
          <w:szCs w:val="32"/>
          <w:highlight w:val="none"/>
          <w:u w:val="none"/>
          <w:lang w:val="en-US" w:eastAsia="zh-CN"/>
        </w:rPr>
        <w:t>党的创新理论及党和国家方针政策。</w:t>
      </w:r>
      <w:r>
        <w:rPr>
          <w:rFonts w:hint="eastAsia" w:ascii="仿宋_GB2312" w:hAnsi="仿宋_GB2312" w:eastAsia="仿宋_GB2312" w:cs="仿宋_GB2312"/>
          <w:spacing w:val="-6"/>
          <w:sz w:val="32"/>
          <w:szCs w:val="32"/>
          <w:highlight w:val="none"/>
          <w:u w:val="none"/>
        </w:rPr>
        <w:t>主要测查报考者学习理解掌握党的创新理论及党和国家方针政策的情况。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6"/>
          <w:szCs w:val="36"/>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中国共产党第二十次全国代表大会强调，国家安全是民族复兴的根基，社会稳定是国家强盛的前提。必须坚定不移贯彻总体国家安全观，把维护国家安全贯穿党和国家工作各方面全过程，确保国家安全和社会稳定。下列表述不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A．坚持党中央对国家安全工作的集中统一领导，完善高效权威的国家安全领导</w:t>
      </w:r>
      <w:r>
        <w:rPr>
          <w:rFonts w:hint="eastAsia" w:ascii="Times New Roman" w:hAnsi="Times New Roman" w:eastAsia="仿宋_GB2312" w:cs="Times New Roman"/>
          <w:color w:val="auto"/>
          <w:sz w:val="32"/>
          <w:szCs w:val="32"/>
          <w:highlight w:val="none"/>
          <w:u w:val="none"/>
          <w:lang w:val="en-US" w:eastAsia="zh-CN"/>
        </w:rPr>
        <w:t>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B．坚持安全第一、应急为主，建立大安全大应急框架，完善公共安全体系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C．加强海外安全保障能力建设，维护我国公民、法人在海外合法权益</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D．强化食品药品安全监管，健全生物安全监管预警防控体系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（答案：B。党的二十大报告指出，</w:t>
      </w:r>
      <w:r>
        <w:rPr>
          <w:rFonts w:hint="eastAsia" w:ascii="Times New Roman" w:hAnsi="Times New Roman" w:eastAsia="仿宋_GB2312" w:cs="Times New Roman"/>
          <w:color w:val="auto"/>
          <w:sz w:val="32"/>
          <w:szCs w:val="32"/>
          <w:highlight w:val="none"/>
          <w:u w:val="none"/>
        </w:rPr>
        <w:t>提高公共安全治理水平。坚持安全第一、预防为主，建立大安全大应急框架，完善公共安全体系，推动公共安全治理模式向事前预防转型</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B选项表述错误。</w:t>
      </w:r>
      <w:r>
        <w:rPr>
          <w:rFonts w:hint="default" w:ascii="Times New Roman" w:hAnsi="Times New Roman" w:eastAsia="仿宋_GB2312" w:cs="Times New Roman"/>
          <w:color w:val="auto"/>
          <w:sz w:val="32"/>
          <w:szCs w:val="32"/>
          <w:highlight w:val="none"/>
          <w:u w:val="none"/>
        </w:rPr>
        <w:t>故正确答案为B。)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rPr>
      </w:pPr>
      <w:r>
        <w:rPr>
          <w:rFonts w:hint="eastAsia" w:ascii="仿宋_GB2312" w:hAnsi="仿宋_GB2312" w:eastAsia="仿宋_GB2312" w:cs="仿宋_GB2312"/>
          <w:b/>
          <w:bCs/>
          <w:sz w:val="32"/>
          <w:szCs w:val="32"/>
          <w:highlight w:val="none"/>
          <w:u w:val="none"/>
          <w:lang w:val="en-US" w:eastAsia="zh-CN"/>
        </w:rPr>
        <w:t xml:space="preserve">   </w:t>
      </w:r>
      <w:r>
        <w:rPr>
          <w:rFonts w:hint="default" w:ascii="Times New Roman" w:hAnsi="Times New Roman" w:eastAsia="仿宋_GB2312" w:cs="Times New Roman"/>
          <w:b/>
          <w:bCs/>
          <w:sz w:val="32"/>
          <w:szCs w:val="32"/>
          <w:highlight w:val="none"/>
          <w:u w:val="none"/>
          <w:lang w:val="en-US" w:eastAsia="zh-CN"/>
        </w:rPr>
        <w:t xml:space="preserve"> 2. </w:t>
      </w:r>
      <w:r>
        <w:rPr>
          <w:rFonts w:hint="default" w:ascii="Times New Roman" w:hAnsi="Times New Roman" w:eastAsia="仿宋_GB2312" w:cs="Times New Roman"/>
          <w:b/>
          <w:bCs/>
          <w:sz w:val="32"/>
          <w:szCs w:val="32"/>
          <w:highlight w:val="none"/>
          <w:u w:val="none"/>
        </w:rPr>
        <w:t>铸牢中华民族共同体意识。</w:t>
      </w:r>
      <w:r>
        <w:rPr>
          <w:rFonts w:hint="eastAsia" w:ascii="仿宋_GB2312" w:hAnsi="仿宋_GB2312" w:eastAsia="仿宋_GB2312" w:cs="仿宋_GB2312"/>
          <w:sz w:val="32"/>
          <w:szCs w:val="32"/>
          <w:highlight w:val="none"/>
          <w:u w:val="none"/>
        </w:rPr>
        <w:t>主要测查报考者</w:t>
      </w:r>
      <w:r>
        <w:rPr>
          <w:rFonts w:hint="eastAsia" w:ascii="仿宋_GB2312" w:hAnsi="仿宋_GB2312" w:eastAsia="仿宋_GB2312" w:cs="仿宋_GB2312"/>
          <w:sz w:val="32"/>
          <w:szCs w:val="32"/>
          <w:highlight w:val="none"/>
          <w:u w:val="none"/>
          <w:lang w:eastAsia="zh-CN"/>
        </w:rPr>
        <w:t>对</w:t>
      </w:r>
      <w:r>
        <w:rPr>
          <w:rFonts w:hint="eastAsia" w:ascii="仿宋_GB2312" w:hAnsi="仿宋_GB2312" w:eastAsia="仿宋_GB2312" w:cs="仿宋_GB2312"/>
          <w:sz w:val="32"/>
          <w:szCs w:val="32"/>
          <w:highlight w:val="none"/>
          <w:u w:val="none"/>
        </w:rPr>
        <w:t>铸牢中华民族共同体意识</w:t>
      </w:r>
      <w:r>
        <w:rPr>
          <w:rFonts w:hint="eastAsia" w:ascii="仿宋_GB2312" w:hAnsi="仿宋_GB2312" w:eastAsia="仿宋_GB2312" w:cs="仿宋_GB2312"/>
          <w:sz w:val="32"/>
          <w:szCs w:val="32"/>
          <w:highlight w:val="none"/>
          <w:u w:val="none"/>
          <w:lang w:eastAsia="zh-CN"/>
        </w:rPr>
        <w:t>核心要义、中华民族历史观、维护民族团结等方面的认识理解情况</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①国家观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②历史观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③民族观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④文化观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⑤宗教观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填入划线处正确的是：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A．①③</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B．①③④⑤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C．②③⑤</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D．①②③④⑤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w:t>
      </w:r>
      <w:r>
        <w:rPr>
          <w:rFonts w:hint="eastAsia" w:ascii="Times New Roman" w:hAnsi="Times New Roman" w:eastAsia="仿宋_GB2312" w:cs="Times New Roman"/>
          <w:color w:val="auto"/>
          <w:sz w:val="32"/>
          <w:szCs w:val="32"/>
          <w:highlight w:val="none"/>
          <w:u w:val="none"/>
        </w:rPr>
        <w:t>的国家观、历史观、民族观、文化观、宗教观。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color w:val="auto"/>
          <w:sz w:val="32"/>
          <w:szCs w:val="32"/>
          <w:highlight w:val="none"/>
          <w:u w:val="none"/>
        </w:rPr>
        <w:t>（</w:t>
      </w:r>
      <w:r>
        <w:rPr>
          <w:rFonts w:hint="eastAsia" w:ascii="Times New Roman" w:hAnsi="Times New Roman" w:eastAsia="楷体" w:cs="Times New Roman"/>
          <w:color w:val="auto"/>
          <w:sz w:val="32"/>
          <w:szCs w:val="32"/>
          <w:highlight w:val="none"/>
          <w:u w:val="none"/>
          <w:lang w:eastAsia="zh-CN"/>
        </w:rPr>
        <w:t>二</w:t>
      </w:r>
      <w:r>
        <w:rPr>
          <w:rFonts w:hint="default" w:ascii="Times New Roman" w:hAnsi="Times New Roman" w:eastAsia="楷体" w:cs="Times New Roman"/>
          <w:color w:val="auto"/>
          <w:sz w:val="32"/>
          <w:szCs w:val="32"/>
          <w:highlight w:val="none"/>
          <w:u w:val="none"/>
        </w:rPr>
        <w:t>）常识判断。</w:t>
      </w:r>
      <w:r>
        <w:rPr>
          <w:rFonts w:hint="default" w:ascii="Times New Roman" w:hAnsi="Times New Roman" w:eastAsia="仿宋_GB2312" w:cs="Times New Roman"/>
          <w:color w:val="auto"/>
          <w:sz w:val="32"/>
          <w:szCs w:val="32"/>
          <w:highlight w:val="none"/>
          <w:u w:val="none"/>
        </w:rPr>
        <w:t>主要测查报考者在经济、文化、社会、</w:t>
      </w:r>
      <w:r>
        <w:rPr>
          <w:rFonts w:hint="default" w:ascii="Times New Roman" w:hAnsi="Times New Roman" w:eastAsia="仿宋_GB2312" w:cs="Times New Roman"/>
          <w:sz w:val="32"/>
          <w:szCs w:val="32"/>
          <w:highlight w:val="none"/>
          <w:u w:val="none"/>
        </w:rPr>
        <w:t>生态、法律、科技等方面应知应会的基本知识以及运用这些知识进行分析判断的基本能力。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生活中，很多人认为食物中添加的防腐剂是有害的，甚至“谈防腐剂而色变”，其实防腐剂是保存食物必不可少的成分。下列关于防腐剂说法错误的是：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A．正常剂量、合格的食品防</w:t>
      </w:r>
      <w:r>
        <w:rPr>
          <w:rFonts w:hint="default" w:ascii="Times New Roman" w:hAnsi="Times New Roman" w:eastAsia="仿宋_GB2312" w:cs="Times New Roman"/>
          <w:color w:val="auto"/>
          <w:spacing w:val="-11"/>
          <w:sz w:val="32"/>
          <w:szCs w:val="32"/>
          <w:highlight w:val="none"/>
          <w:u w:val="none"/>
          <w:lang w:val="en-US" w:eastAsia="zh-CN"/>
        </w:rPr>
        <w:t>腐剂对人体是无害的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B．甜品店售卖的糕点中所使用的防腐剂要求对光和热稳定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C．检验合格的瓶装果汁中所含的防腐剂会影响果汁的色泽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D．超市售卖的午餐肉罐头中使用的防腐剂可参与人体的正常代谢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lang w:val="en-US" w:eastAsia="zh-CN"/>
        </w:rPr>
        <w:t>（答案：</w:t>
      </w:r>
      <w:r>
        <w:rPr>
          <w:rFonts w:hint="default" w:ascii="Times New Roman" w:hAnsi="Times New Roman" w:eastAsia="仿宋_GB2312" w:cs="Times New Roman"/>
          <w:color w:val="auto"/>
          <w:spacing w:val="0"/>
          <w:sz w:val="32"/>
          <w:szCs w:val="32"/>
          <w:highlight w:val="none"/>
          <w:u w:val="none"/>
          <w:lang w:val="zh-CN"/>
        </w:rPr>
        <w:t>C</w:t>
      </w:r>
      <w:r>
        <w:rPr>
          <w:rFonts w:hint="eastAsia" w:ascii="Times New Roman" w:hAnsi="Times New Roman" w:eastAsia="仿宋_GB2312" w:cs="Times New Roman"/>
          <w:color w:val="auto"/>
          <w:spacing w:val="0"/>
          <w:sz w:val="32"/>
          <w:szCs w:val="32"/>
          <w:highlight w:val="none"/>
          <w:u w:val="none"/>
          <w:lang w:val="zh-CN"/>
        </w:rPr>
        <w:t>。</w:t>
      </w:r>
      <w:r>
        <w:rPr>
          <w:rFonts w:hint="default" w:ascii="Times New Roman" w:hAnsi="Times New Roman" w:eastAsia="仿宋_GB2312" w:cs="Times New Roman"/>
          <w:color w:val="auto"/>
          <w:spacing w:val="0"/>
          <w:sz w:val="32"/>
          <w:szCs w:val="32"/>
          <w:highlight w:val="none"/>
          <w:u w:val="none"/>
          <w:lang w:val="zh-CN"/>
        </w:rPr>
        <w:t>防腐剂是能抑制微生物活动，防止食品腐败变质的一类食品添加剂。其使用是为了保持食品原有品质和营养价值，并不会影响果汁的色泽。C选项</w:t>
      </w:r>
      <w:r>
        <w:rPr>
          <w:rFonts w:hint="eastAsia" w:ascii="Times New Roman" w:hAnsi="Times New Roman" w:eastAsia="仿宋_GB2312" w:cs="Times New Roman"/>
          <w:color w:val="auto"/>
          <w:spacing w:val="0"/>
          <w:sz w:val="32"/>
          <w:szCs w:val="32"/>
          <w:highlight w:val="none"/>
          <w:u w:val="none"/>
          <w:lang w:val="zh-CN"/>
        </w:rPr>
        <w:t>“影响果汁的色泽”表述有误</w:t>
      </w:r>
      <w:r>
        <w:rPr>
          <w:rFonts w:hint="default" w:ascii="Times New Roman" w:hAnsi="Times New Roman" w:eastAsia="仿宋_GB2312" w:cs="Times New Roman"/>
          <w:color w:val="auto"/>
          <w:spacing w:val="0"/>
          <w:sz w:val="32"/>
          <w:szCs w:val="32"/>
          <w:highlight w:val="none"/>
          <w:u w:val="none"/>
          <w:lang w:val="zh-CN"/>
        </w:rPr>
        <w:t>。</w:t>
      </w:r>
      <w:r>
        <w:rPr>
          <w:rFonts w:hint="eastAsia" w:ascii="Times New Roman" w:hAnsi="Times New Roman" w:eastAsia="仿宋_GB2312" w:cs="Times New Roman"/>
          <w:color w:val="auto"/>
          <w:spacing w:val="0"/>
          <w:sz w:val="32"/>
          <w:szCs w:val="32"/>
          <w:highlight w:val="none"/>
          <w:u w:val="none"/>
        </w:rPr>
        <w:t>故正确答案为</w:t>
      </w:r>
      <w:r>
        <w:rPr>
          <w:rFonts w:hint="default" w:ascii="Times New Roman" w:hAnsi="Times New Roman" w:eastAsia="仿宋_GB2312" w:cs="Times New Roman"/>
          <w:color w:val="auto"/>
          <w:spacing w:val="0"/>
          <w:sz w:val="32"/>
          <w:szCs w:val="32"/>
          <w:highlight w:val="none"/>
          <w:u w:val="none"/>
        </w:rPr>
        <w:t>C。</w:t>
      </w:r>
      <w:r>
        <w:rPr>
          <w:rFonts w:hint="eastAsia" w:ascii="Times New Roman" w:hAnsi="Times New Roman" w:eastAsia="仿宋_GB2312" w:cs="Times New Roman"/>
          <w:color w:val="auto"/>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三</w:t>
      </w:r>
      <w:r>
        <w:rPr>
          <w:rFonts w:hint="default" w:ascii="Times New Roman" w:hAnsi="Times New Roman" w:eastAsia="楷体" w:cs="Times New Roman"/>
          <w:sz w:val="32"/>
          <w:szCs w:val="32"/>
          <w:highlight w:val="none"/>
          <w:u w:val="none"/>
        </w:rPr>
        <w:t>）言语理解与表达。</w:t>
      </w:r>
      <w:r>
        <w:rPr>
          <w:rFonts w:hint="default" w:ascii="Times New Roman" w:hAnsi="Times New Roman" w:eastAsia="仿宋_GB2312" w:cs="Times New Roman"/>
          <w:sz w:val="32"/>
          <w:szCs w:val="32"/>
          <w:highlight w:val="none"/>
          <w:u w:val="none"/>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用题型：段落阅读、选词填空、语句表达、语句排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11"/>
          <w:sz w:val="32"/>
          <w:szCs w:val="32"/>
          <w:highlight w:val="none"/>
          <w:u w:val="none"/>
        </w:rPr>
        <w:t>近年来，随着外部环境和我国发展所具有的要素禀赋的变化，市场和资源两头在外的国际大循环动能明显减弱，而我国内需潜力不断释放，国内大循环活力日益强劲，二者客观上呈现</w:t>
      </w:r>
      <w:r>
        <w:rPr>
          <w:rFonts w:hint="eastAsia" w:ascii="仿宋_GB2312" w:hAnsi="仿宋_GB2312" w:eastAsia="仿宋_GB2312" w:cs="仿宋_GB2312"/>
          <w:color w:val="auto"/>
          <w:spacing w:val="-11"/>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pacing w:val="-11"/>
          <w:sz w:val="32"/>
          <w:szCs w:val="32"/>
          <w:highlight w:val="none"/>
          <w:u w:val="none"/>
        </w:rPr>
        <w:t>的态势。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填入划横线部分最恰当的一项是：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A．休戚相关</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B．此消彼长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C．共生共荣</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D．稳中向好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default" w:ascii="仿宋_GB2312" w:hAnsi="仿宋_GB2312" w:eastAsia="仿宋_GB2312" w:cs="仿宋_GB2312"/>
          <w:color w:val="auto"/>
          <w:sz w:val="32"/>
          <w:szCs w:val="32"/>
          <w:highlight w:val="none"/>
          <w:u w:val="none"/>
        </w:rPr>
        <w:t>（答案：</w:t>
      </w:r>
      <w:r>
        <w:rPr>
          <w:rFonts w:hint="default" w:ascii="Times New Roman" w:hAnsi="Times New Roman" w:eastAsia="仿宋_GB2312" w:cs="Times New Roman"/>
          <w:color w:val="auto"/>
          <w:sz w:val="32"/>
          <w:szCs w:val="32"/>
          <w:highlight w:val="none"/>
          <w:u w:val="none"/>
          <w:lang w:val="en-US" w:eastAsia="zh-CN"/>
        </w:rPr>
        <w:t>B</w:t>
      </w:r>
      <w:r>
        <w:rPr>
          <w:rFonts w:hint="default"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明显减弱，</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日益强劲”可知，该空想表达一增一减的意思。</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选项“休戚与共”指有幸福共同享受，有祸患共同抵挡，形容关系紧密，利害相同；</w:t>
      </w:r>
      <w:r>
        <w:rPr>
          <w:rFonts w:hint="default" w:ascii="Times New Roman" w:hAnsi="Times New Roman" w:eastAsia="仿宋_GB2312" w:cs="Times New Roman"/>
          <w:color w:val="auto"/>
          <w:sz w:val="32"/>
          <w:szCs w:val="32"/>
          <w:highlight w:val="none"/>
          <w:u w:val="none"/>
        </w:rPr>
        <w:t>C</w:t>
      </w:r>
      <w:r>
        <w:rPr>
          <w:rFonts w:hint="eastAsia" w:ascii="仿宋_GB2312" w:hAnsi="仿宋_GB2312" w:eastAsia="仿宋_GB2312" w:cs="仿宋_GB2312"/>
          <w:color w:val="auto"/>
          <w:sz w:val="32"/>
          <w:szCs w:val="32"/>
          <w:highlight w:val="none"/>
          <w:u w:val="none"/>
        </w:rPr>
        <w:t>选项“共生共荣”意为一同生存，一起荣耀，形容关系密切；</w:t>
      </w:r>
      <w:r>
        <w:rPr>
          <w:rFonts w:hint="default" w:ascii="Times New Roman" w:hAnsi="Times New Roman" w:eastAsia="仿宋_GB2312" w:cs="Times New Roman"/>
          <w:color w:val="auto"/>
          <w:sz w:val="32"/>
          <w:szCs w:val="32"/>
          <w:highlight w:val="none"/>
          <w:u w:val="none"/>
        </w:rPr>
        <w:t>D</w:t>
      </w:r>
      <w:r>
        <w:rPr>
          <w:rFonts w:hint="eastAsia" w:ascii="仿宋_GB2312" w:hAnsi="仿宋_GB2312" w:eastAsia="仿宋_GB2312" w:cs="仿宋_GB2312"/>
          <w:color w:val="auto"/>
          <w:sz w:val="32"/>
          <w:szCs w:val="32"/>
          <w:highlight w:val="none"/>
          <w:u w:val="none"/>
        </w:rPr>
        <w:t>选项“稳中向好”指状态稳定，且向好的方向发展，三者均不符合文意，排除。</w:t>
      </w:r>
      <w:r>
        <w:rPr>
          <w:rFonts w:hint="default" w:ascii="Times New Roman" w:hAnsi="Times New Roman" w:eastAsia="仿宋_GB2312" w:cs="Times New Roman"/>
          <w:color w:val="auto"/>
          <w:sz w:val="32"/>
          <w:szCs w:val="32"/>
          <w:highlight w:val="none"/>
          <w:u w:val="none"/>
        </w:rPr>
        <w:t>B</w:t>
      </w:r>
      <w:r>
        <w:rPr>
          <w:rFonts w:hint="eastAsia" w:ascii="仿宋_GB2312" w:hAnsi="仿宋_GB2312" w:eastAsia="仿宋_GB2312" w:cs="仿宋_GB2312"/>
          <w:color w:val="auto"/>
          <w:sz w:val="32"/>
          <w:szCs w:val="32"/>
          <w:highlight w:val="none"/>
          <w:u w:val="none"/>
        </w:rPr>
        <w:t>选项“此消彼</w:t>
      </w:r>
      <w:r>
        <w:rPr>
          <w:rFonts w:hint="eastAsia" w:ascii="仿宋_GB2312" w:hAnsi="仿宋_GB2312" w:eastAsia="仿宋_GB2312" w:cs="仿宋_GB2312"/>
          <w:color w:val="auto"/>
          <w:spacing w:val="-6"/>
          <w:sz w:val="32"/>
          <w:szCs w:val="32"/>
          <w:highlight w:val="none"/>
          <w:u w:val="none"/>
        </w:rPr>
        <w:t>长”是指这个下降，那个上升，符合文意。故正确答案为</w:t>
      </w:r>
      <w:r>
        <w:rPr>
          <w:rFonts w:hint="eastAsia" w:ascii="Times New Roman" w:hAnsi="Times New Roman" w:eastAsia="仿宋_GB2312" w:cs="Times New Roman"/>
          <w:color w:val="auto"/>
          <w:spacing w:val="-6"/>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①</w:t>
      </w:r>
      <w:r>
        <w:rPr>
          <w:rFonts w:hint="default" w:ascii="Times New Roman" w:hAnsi="Times New Roman" w:eastAsia="仿宋_GB2312" w:cs="Times New Roman"/>
          <w:color w:val="auto"/>
          <w:spacing w:val="0"/>
          <w:sz w:val="32"/>
          <w:szCs w:val="32"/>
          <w:highlight w:val="none"/>
          <w:u w:val="none"/>
        </w:rPr>
        <w:t>经过不断尝试，他们在保持光源高亮度特征的同时，减小了光频偏移，建成了基于全光激发的氪原子阱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②目前国际上均采用气体放电方法来制备亚稳态氪原子，方法简单可行，然而存在着激发效率低、样品损失等问题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③对于古地下</w:t>
      </w:r>
      <w:r>
        <w:rPr>
          <w:rFonts w:hint="default" w:ascii="Times New Roman" w:hAnsi="Times New Roman" w:eastAsia="仿宋_GB2312" w:cs="Times New Roman"/>
          <w:color w:val="auto"/>
          <w:spacing w:val="-6"/>
          <w:sz w:val="32"/>
          <w:szCs w:val="32"/>
          <w:highlight w:val="none"/>
          <w:u w:val="none"/>
        </w:rPr>
        <w:t>水研究和寻找百万年前形成的冰芯等科学问题，这种原子阱超灵敏分析工具带来了新的研究机遇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④科研人员研制成一种高亮度共振真空紫外灯，并将其应用于全光激发氪原子，从而避免了气体放电所带来的种种问题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⑤用原子阱捕获氪</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81需要首先将原子激发到一个亚稳量子态上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⑥研究人员提出了一种新的机理来解释真空紫外光子在氪气中传播时的</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自吸收</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现象——光子在氪气中多次散射后并未损失，而是其频率发生了偏移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将以上6个句子重新排序，语序正确的是：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A．②④⑥③⑤①</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B．②⑥③⑤④①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C．⑤⑥②④①③</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D．⑤②④⑥①③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比对选项确定首句。首句有②、⑤两句，②句阐述目前制备亚稳态氪原子的优势和存在的问题，⑤句提出亚稳态氪原子，对比两个句子，需要先提出后阐述，故⑤句更适合作为首句，排除A、B两项。再看根据选项看②句和⑥句，⑥句阐述研究人员解释真空紫外光子在氪气中传播时的“自吸收”现象。⑥句所提及问题逻辑上无法与首句相连，故排除</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文段⑤句先提出亚稳态氪原子的概念，②句指出现阶段制备亚稳态氪原子存在的问题，④句提出研究人员通过制成一种高亮度共振真空紫外灯解决上述问题，⑥句解释问题的实质原因，①句阐述研究人员针对上述原因解决问题，③句加以总结，逻辑通顺。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谣言，一方面往往源于真相不被发现，尤其是涉及到卫生、医药、科技等专业领域的谣言，更应该建立快速反应机制。比如，普及基本的科技常识，让人们能正确掌握医疗卫生健康常识，对于一般性流言不但可以迅速做出回应和阻击，而且还可以通过到位的科普来助力辟谣及时启动并发挥效力。另一方面，需要通过健全完善辟谣平台的方法，引导不同领域的专家进驻辟谣平台，或通过设置辟谣热线、咨询专线等构建对谣言应时而动的“动态对决”，通过及时、联动、专业发声去解疑释惑。如果我们在谣言的酝酿和成型阶段就做出专业、科学的回应和阻击，何至于在其成型乃至于“流行”后再辟谣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最适合做这段文字标题的是：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A．科普，辟谣的一剂良药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B．辟谣更需</w:t>
      </w:r>
      <w:r>
        <w:rPr>
          <w:rFonts w:hint="eastAsia" w:ascii="仿宋_GB2312" w:hAnsi="仿宋_GB2312" w:eastAsia="仿宋_GB2312" w:cs="仿宋_GB2312"/>
          <w:color w:val="auto"/>
          <w:sz w:val="32"/>
          <w:szCs w:val="32"/>
          <w:highlight w:val="none"/>
          <w:u w:val="none"/>
          <w:lang w:val="en-US" w:eastAsia="zh-CN"/>
        </w:rPr>
        <w:t>“进行时”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C．谣言与真相的对决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D．谣言止于智者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文段开篇指出涉及到专业领域的谣言应该建立快速反应机制，接着通过</w:t>
      </w:r>
      <w:r>
        <w:rPr>
          <w:rFonts w:hint="eastAsia" w:ascii="仿宋_GB2312" w:hAnsi="仿宋_GB2312" w:eastAsia="仿宋_GB2312" w:cs="仿宋_GB2312"/>
          <w:color w:val="auto"/>
          <w:sz w:val="32"/>
          <w:szCs w:val="32"/>
          <w:highlight w:val="none"/>
          <w:u w:val="none"/>
        </w:rPr>
        <w:t>“比如”举例子，然后通过“另一方面”指出谣言也需要健全完善辟谣平台的方法，强调设置热线、专线等方式与谣言“动态对决”，通过及时</w:t>
      </w:r>
      <w:r>
        <w:rPr>
          <w:rFonts w:hint="default" w:ascii="Times New Roman" w:hAnsi="Times New Roman" w:eastAsia="仿宋_GB2312" w:cs="Times New Roman"/>
          <w:color w:val="auto"/>
          <w:sz w:val="32"/>
          <w:szCs w:val="32"/>
          <w:highlight w:val="none"/>
          <w:u w:val="none"/>
        </w:rPr>
        <w:t>、联动、专业发声去解疑释惑。尾句再次强调我们应该在谣言的酝酿和成型阶段就做出专业、科学的回应和阻击，而不是等谣言成型和扩散后再去辟谣。故文段重在强调针对谣言，应该快速、及时、动态地进行回应辟谣，对应B选项。A选项，</w:t>
      </w:r>
      <w:r>
        <w:rPr>
          <w:rFonts w:hint="eastAsia" w:ascii="仿宋_GB2312" w:hAnsi="仿宋_GB2312" w:eastAsia="仿宋_GB2312" w:cs="仿宋_GB2312"/>
          <w:color w:val="auto"/>
          <w:sz w:val="32"/>
          <w:szCs w:val="32"/>
          <w:highlight w:val="none"/>
          <w:u w:val="none"/>
        </w:rPr>
        <w:t>“科普”对</w:t>
      </w:r>
      <w:r>
        <w:rPr>
          <w:rFonts w:hint="default" w:ascii="Times New Roman" w:hAnsi="Times New Roman" w:eastAsia="仿宋_GB2312" w:cs="Times New Roman"/>
          <w:color w:val="auto"/>
          <w:sz w:val="32"/>
          <w:szCs w:val="32"/>
          <w:highlight w:val="none"/>
          <w:u w:val="none"/>
        </w:rPr>
        <w:t>应文段举例子部分，非重点，排除</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C、D两项，均未体现出文段强调应对谣言时应该</w:t>
      </w:r>
      <w:r>
        <w:rPr>
          <w:rFonts w:hint="eastAsia" w:ascii="仿宋_GB2312" w:hAnsi="仿宋_GB2312" w:eastAsia="仿宋_GB2312" w:cs="仿宋_GB2312"/>
          <w:color w:val="auto"/>
          <w:sz w:val="32"/>
          <w:szCs w:val="32"/>
          <w:highlight w:val="none"/>
          <w:u w:val="none"/>
        </w:rPr>
        <w:t>“快速、及时、动态”</w:t>
      </w:r>
      <w:r>
        <w:rPr>
          <w:rFonts w:hint="default" w:ascii="Times New Roman" w:hAnsi="Times New Roman" w:eastAsia="仿宋_GB2312" w:cs="Times New Roman"/>
          <w:color w:val="auto"/>
          <w:sz w:val="32"/>
          <w:szCs w:val="32"/>
          <w:highlight w:val="none"/>
          <w:u w:val="none"/>
        </w:rPr>
        <w:t>，偏离文段重点，排除。故正确答案为</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四</w:t>
      </w:r>
      <w:r>
        <w:rPr>
          <w:rFonts w:hint="default" w:ascii="Times New Roman" w:hAnsi="Times New Roman" w:eastAsia="楷体" w:cs="Times New Roman"/>
          <w:sz w:val="32"/>
          <w:szCs w:val="32"/>
          <w:highlight w:val="none"/>
          <w:u w:val="none"/>
        </w:rPr>
        <w:t>）数量关系。</w:t>
      </w:r>
      <w:r>
        <w:rPr>
          <w:rFonts w:hint="default" w:ascii="Times New Roman" w:hAnsi="Times New Roman" w:eastAsia="仿宋_GB2312" w:cs="Times New Roman"/>
          <w:sz w:val="32"/>
          <w:szCs w:val="32"/>
          <w:highlight w:val="none"/>
          <w:u w:val="none"/>
        </w:rPr>
        <w:t>主要测查报考者理解、把握事物间量化关系和解决数量关系问题的能力，主要涉及数据关系的分析、推理、判断、运算等。常用题型：数学运算。</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数学运算：</w:t>
      </w:r>
      <w:r>
        <w:rPr>
          <w:rFonts w:hint="default" w:ascii="Times New Roman" w:hAnsi="Times New Roman" w:eastAsia="仿宋_GB2312" w:cs="Times New Roman"/>
          <w:sz w:val="32"/>
          <w:szCs w:val="32"/>
          <w:highlight w:val="none"/>
          <w:u w:val="none"/>
        </w:rPr>
        <w:t>每道题给出一个算术式子或者表达数量关系的一段文字，要求报考者熟练运用加、减、乘、除等基本运算法则，并利用其他基本数学知识计算或推出结果。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甲、乙两地分别为一条河流的上下游，两地相距360千米，A船往返需要35小时，其中从甲地到乙地的时间比从</w:t>
      </w:r>
      <w:r>
        <w:rPr>
          <w:rFonts w:hint="default" w:ascii="Times New Roman" w:hAnsi="Times New Roman" w:eastAsia="仿宋_GB2312" w:cs="Times New Roman"/>
          <w:color w:val="auto"/>
          <w:spacing w:val="-6"/>
          <w:sz w:val="32"/>
          <w:szCs w:val="32"/>
          <w:highlight w:val="none"/>
          <w:u w:val="none"/>
        </w:rPr>
        <w:t>乙地到甲地的时间短5小时。B船在静水中的速度为12千米/小</w:t>
      </w:r>
      <w:r>
        <w:rPr>
          <w:rFonts w:hint="default" w:ascii="Times New Roman" w:hAnsi="Times New Roman" w:eastAsia="仿宋_GB2312" w:cs="Times New Roman"/>
          <w:color w:val="auto"/>
          <w:sz w:val="32"/>
          <w:szCs w:val="32"/>
          <w:highlight w:val="none"/>
          <w:u w:val="none"/>
        </w:rPr>
        <w:t>时，问其从甲地开往乙地需要多少小时？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lang w:val="en-US" w:eastAsia="zh-CN"/>
        </w:rPr>
        <w:t>．12</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w:t>
      </w:r>
      <w:r>
        <w:rPr>
          <w:rFonts w:hint="default" w:ascii="Times New Roman" w:hAnsi="Times New Roman" w:eastAsia="仿宋_GB2312" w:cs="Times New Roman"/>
          <w:color w:val="auto"/>
          <w:sz w:val="32"/>
          <w:szCs w:val="32"/>
          <w:highlight w:val="none"/>
          <w:u w:val="none"/>
          <w:lang w:val="en-US" w:eastAsia="zh-CN"/>
        </w:rPr>
        <w:t>．20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w:t>
      </w:r>
      <w:r>
        <w:rPr>
          <w:rFonts w:hint="default" w:ascii="Times New Roman" w:hAnsi="Times New Roman" w:eastAsia="仿宋_GB2312" w:cs="Times New Roman"/>
          <w:color w:val="auto"/>
          <w:sz w:val="32"/>
          <w:szCs w:val="32"/>
          <w:highlight w:val="none"/>
          <w:u w:val="none"/>
          <w:lang w:val="en-US" w:eastAsia="zh-CN"/>
        </w:rPr>
        <w:t>．40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根据“从甲地到乙地的时间比从乙地到甲地的时间短”可知，从甲地到乙地为顺水行驶，从乙地到甲地为逆水行驶。设</w:t>
      </w:r>
      <w:r>
        <w:rPr>
          <w:rFonts w:hint="default" w:ascii="Times New Roman" w:hAnsi="Times New Roman" w:eastAsia="仿宋_GB2312" w:cs="Times New Roman"/>
          <w:color w:val="auto"/>
          <w:sz w:val="32"/>
          <w:szCs w:val="32"/>
          <w:highlight w:val="none"/>
          <w:u w:val="none"/>
        </w:rPr>
        <w:t>A船从甲地到乙地的顺水行驶时间为x</w:t>
      </w:r>
      <w:r>
        <w:rPr>
          <w:rFonts w:hint="eastAsia" w:ascii="仿宋_GB2312" w:hAnsi="仿宋_GB2312" w:eastAsia="仿宋_GB2312" w:cs="仿宋_GB2312"/>
          <w:color w:val="auto"/>
          <w:sz w:val="32"/>
          <w:szCs w:val="32"/>
          <w:highlight w:val="none"/>
          <w:u w:val="none"/>
        </w:rPr>
        <w:t>小时，从乙地到甲地的逆水行驶时间为</w:t>
      </w:r>
      <w:r>
        <w:rPr>
          <w:rFonts w:hint="default" w:ascii="Times New Roman" w:hAnsi="Times New Roman" w:eastAsia="仿宋_GB2312" w:cs="Times New Roman"/>
          <w:color w:val="auto"/>
          <w:sz w:val="32"/>
          <w:szCs w:val="32"/>
          <w:highlight w:val="none"/>
          <w:u w:val="none"/>
        </w:rPr>
        <w:t>y</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由题意可列方程：x＋y＝35······①，y-x＝5······②。联立方程①和②，解得x＝15，y＝20。结合两地相距360千米，可得A船从甲地到乙地的顺水行驶的速度</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25"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26" o:spt="75" type="#_x0000_t75" style="height:37.1pt;width:22.4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船从乙地到甲地的逆水行驶的速度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27"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28" o:spt="75" type="#_x0000_t75" style="height:36pt;width:19.2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ropleft="12541f" cropright="30803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=18</w:t>
      </w:r>
      <w:r>
        <w:rPr>
          <w:rFonts w:hint="eastAsia" w:ascii="仿宋_GB2312" w:hAnsi="仿宋_GB2312" w:eastAsia="仿宋_GB2312" w:cs="仿宋_GB2312"/>
          <w:color w:val="auto"/>
          <w:sz w:val="32"/>
          <w:szCs w:val="32"/>
          <w:highlight w:val="none"/>
          <w:u w:val="none"/>
        </w:rPr>
        <w:t>千米/小时。根据公式：</w:t>
      </w:r>
      <m:oMath>
        <m:sSub>
          <m:sSubPr>
            <m:ctrlPr>
              <w:rPr>
                <w:rFonts w:ascii="Cambria Math" w:hAnsi="Cambria Math"/>
                <w:sz w:val="32"/>
                <w:szCs w:val="32"/>
                <w:u w:val="none"/>
              </w:rPr>
            </m:ctrlPr>
          </m:sSubPr>
          <m:e>
            <m:r>
              <m:rPr/>
              <w:rPr>
                <w:rFonts w:ascii="Cambria Math" w:hAnsi="Cambria Math"/>
                <w:sz w:val="32"/>
                <w:szCs w:val="32"/>
                <w:u w:val="none"/>
              </w:rPr>
              <m:t>V</m:t>
            </m:r>
            <m:ctrlPr>
              <w:rPr>
                <w:sz w:val="32"/>
                <w:szCs w:val="32"/>
                <w:u w:val="none"/>
              </w:rPr>
            </m:ctrlPr>
          </m:e>
          <m:sub>
            <m:r>
              <m:rPr/>
              <w:rPr>
                <w:rFonts w:ascii="Cambria Math" w:hAnsi="Cambria Math"/>
                <w:sz w:val="32"/>
                <w:szCs w:val="32"/>
                <w:u w:val="none"/>
              </w:rPr>
              <m:t>水</m:t>
            </m:r>
            <m:ctrlPr>
              <w:rPr>
                <w:sz w:val="32"/>
                <w:szCs w:val="32"/>
                <w:u w:val="none"/>
              </w:rPr>
            </m:ctrlPr>
          </m:sub>
        </m:sSub>
        <m:r>
          <m:rPr/>
          <w:rPr>
            <w:rFonts w:ascii="Cambria Math" w:hAnsi="Cambria Math"/>
            <w:sz w:val="32"/>
            <w:szCs w:val="32"/>
            <w:u w:val="none"/>
          </w:rPr>
          <m:t>=</m:t>
        </m:r>
        <m:f>
          <m:fPr>
            <m:ctrlPr>
              <w:rPr>
                <w:rFonts w:ascii="Cambria Math" w:hAnsi="Cambria Math"/>
                <w:i/>
                <w:sz w:val="32"/>
                <w:szCs w:val="32"/>
                <w:u w:val="none"/>
              </w:rPr>
            </m:ctrlPr>
          </m:fPr>
          <m:num>
            <m:sSub>
              <m:sSubPr>
                <m:ctrlPr>
                  <w:rPr>
                    <w:rFonts w:ascii="Cambria Math" w:hAnsi="Cambria Math"/>
                    <w:i/>
                    <w:sz w:val="32"/>
                    <w:szCs w:val="32"/>
                    <w:u w:val="none"/>
                  </w:rPr>
                </m:ctrlPr>
              </m:sSubPr>
              <m:e>
                <m:r>
                  <m:rPr/>
                  <w:rPr>
                    <w:rFonts w:ascii="Cambria Math" w:hAnsi="Cambria Math"/>
                    <w:sz w:val="32"/>
                    <w:szCs w:val="32"/>
                    <w:u w:val="none"/>
                  </w:rPr>
                  <m:t>V</m:t>
                </m:r>
                <m:ctrlPr>
                  <w:rPr>
                    <w:sz w:val="32"/>
                    <w:szCs w:val="32"/>
                    <w:u w:val="none"/>
                  </w:rPr>
                </m:ctrlPr>
              </m:e>
              <m:sub>
                <m:r>
                  <m:rPr/>
                  <w:rPr>
                    <w:rFonts w:ascii="Cambria Math" w:hAnsi="Cambria Math"/>
                    <w:sz w:val="32"/>
                    <w:szCs w:val="32"/>
                    <w:u w:val="none"/>
                  </w:rPr>
                  <m:t>顺</m:t>
                </m:r>
                <m:ctrlPr>
                  <w:rPr>
                    <w:sz w:val="32"/>
                    <w:szCs w:val="32"/>
                    <w:u w:val="none"/>
                  </w:rPr>
                </m:ctrlPr>
              </m:sub>
            </m:sSub>
            <m:r>
              <m:rPr/>
              <w:rPr>
                <w:rFonts w:ascii="Cambria Math" w:hAnsi="Cambria Math"/>
                <w:sz w:val="32"/>
                <w:szCs w:val="32"/>
                <w:u w:val="none"/>
              </w:rPr>
              <m:t>−</m:t>
            </m:r>
            <m:sSub>
              <m:sSubPr>
                <m:ctrlPr>
                  <w:rPr>
                    <w:rFonts w:ascii="Cambria Math" w:hAnsi="Cambria Math"/>
                    <w:i/>
                    <w:sz w:val="32"/>
                    <w:szCs w:val="32"/>
                    <w:u w:val="none"/>
                  </w:rPr>
                </m:ctrlPr>
              </m:sSubPr>
              <m:e>
                <m:r>
                  <m:rPr/>
                  <w:rPr>
                    <w:rFonts w:ascii="Cambria Math" w:hAnsi="Cambria Math"/>
                    <w:sz w:val="32"/>
                    <w:szCs w:val="32"/>
                    <w:u w:val="none"/>
                  </w:rPr>
                  <m:t>V</m:t>
                </m:r>
                <m:ctrlPr>
                  <w:rPr>
                    <w:sz w:val="32"/>
                    <w:szCs w:val="32"/>
                    <w:u w:val="none"/>
                  </w:rPr>
                </m:ctrlPr>
              </m:e>
              <m:sub>
                <m:r>
                  <m:rPr/>
                  <w:rPr>
                    <w:rFonts w:ascii="Cambria Math" w:hAnsi="Cambria Math"/>
                    <w:sz w:val="32"/>
                    <w:szCs w:val="32"/>
                    <w:u w:val="none"/>
                  </w:rPr>
                  <m:t>逆</m:t>
                </m:r>
                <m:ctrlPr>
                  <w:rPr>
                    <w:sz w:val="32"/>
                    <w:szCs w:val="32"/>
                    <w:u w:val="none"/>
                  </w:rPr>
                </m:ctrlPr>
              </m:sub>
            </m:sSub>
            <m:ctrlPr>
              <w:rPr>
                <w:rFonts w:ascii="Cambria Math" w:hAnsi="Cambria Math"/>
                <w:i/>
                <w:sz w:val="32"/>
                <w:szCs w:val="32"/>
                <w:u w:val="none"/>
              </w:rPr>
            </m:ctrlPr>
          </m:num>
          <m:den>
            <m:r>
              <m:rPr/>
              <w:rPr>
                <w:rFonts w:ascii="Cambria Math" w:hAnsi="Cambria Math"/>
                <w:sz w:val="32"/>
                <w:szCs w:val="32"/>
                <w:u w:val="none"/>
              </w:rPr>
              <m:t>2</m:t>
            </m:r>
            <m:ctrlPr>
              <w:rPr>
                <w:rFonts w:ascii="Cambria Math" w:hAnsi="Cambria Math"/>
                <w:i/>
                <w:sz w:val="32"/>
                <w:szCs w:val="32"/>
                <w:u w:val="none"/>
              </w:rPr>
            </m:ctrlPr>
          </m:den>
        </m:f>
      </m:oMath>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1"/>
          <w:sz w:val="32"/>
          <w:szCs w:val="32"/>
          <w:highlight w:val="none"/>
          <w:u w:val="none"/>
        </w:rPr>
        <w:pict>
          <v:shape id="_x0000_i1029" o:spt="75" type="#_x0000_t75" style="height:31.2pt;width:54.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D2&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1705D2&quot; wsp:rsidP=&quot;001705D2&quot;&gt;&lt;w:pPr&gt;&lt;w:rPr&gt;&lt;wx:font wx:val=&quot;宋体&quot;/&gt;&lt;/w:rPr&gt;&lt;/w:pPr&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水&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顺&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逆&lt;/m:t&gt;&lt;/m:r&gt;&lt;/m:sub&gt;&lt;/m:sSub&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u w:val="none"/>
        </w:rPr>
        <w:t>，可得甲、乙两地间水流速度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30" o:spt="75" type="#_x0000_t75" style="height:31.2pt;width:52.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31" o:spt="75" type="#_x0000_t75" style="height:33.5pt;width:30.0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ropleft="10576f" cropright="20227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B船从甲地开往乙地的顺水速度为12＋3＝15千米/小时，则B船从甲地开往乙地的时间为</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32"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33" o:spt="75" type="#_x0000_t75" style="height:35.95pt;width:21.7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五</w:t>
      </w:r>
      <w:r>
        <w:rPr>
          <w:rFonts w:hint="default" w:ascii="Times New Roman" w:hAnsi="Times New Roman" w:eastAsia="楷体" w:cs="Times New Roman"/>
          <w:sz w:val="32"/>
          <w:szCs w:val="32"/>
          <w:highlight w:val="none"/>
          <w:u w:val="none"/>
        </w:rPr>
        <w:t>）判断推理。</w:t>
      </w:r>
      <w:r>
        <w:rPr>
          <w:rFonts w:hint="default" w:ascii="Times New Roman" w:hAnsi="Times New Roman" w:eastAsia="仿宋_GB2312" w:cs="Times New Roman"/>
          <w:sz w:val="32"/>
          <w:szCs w:val="32"/>
          <w:highlight w:val="none"/>
          <w:u w:val="none"/>
        </w:rPr>
        <w:t>主要测查报考者对各种事物关系的分析推理能力，主要涉及对图形、语词概念、事物关系和文字材料的理解、比较、组合、演绎和归纳等。常用题型：图形推理、定义判断、逻辑判断、类比推理等。</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第一种题型：图形推理。</w:t>
      </w:r>
      <w:r>
        <w:rPr>
          <w:rFonts w:hint="default" w:ascii="Times New Roman" w:hAnsi="Times New Roman" w:eastAsia="仿宋_GB2312" w:cs="Times New Roman"/>
          <w:sz w:val="32"/>
          <w:szCs w:val="32"/>
          <w:highlight w:val="none"/>
          <w:u w:val="none"/>
        </w:rPr>
        <w:t>每道题给出一套或两套图形，要求报考者通过观察分析找出图形排列的规律，选出符合规律的一项。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u w:val="none"/>
        </w:rPr>
      </w:pPr>
      <w:r>
        <w:rPr>
          <w:rFonts w:hint="eastAsia" w:ascii="Times New Roman" w:hAnsi="Times New Roman" w:eastAsia="仿宋_GB2312" w:cs="Times New Roman"/>
          <w:color w:val="auto"/>
          <w:sz w:val="32"/>
          <w:szCs w:val="32"/>
          <w:highlight w:val="none"/>
          <w:u w:val="none"/>
        </w:rPr>
        <w:t>从所给的四个选项中，选择最合适的一个填入问号处，使之呈现一定的规律性。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仿宋_GB2312" w:cs="Times New Roman"/>
          <w:color w:val="auto"/>
          <w:sz w:val="32"/>
          <w:szCs w:val="32"/>
          <w:highlight w:val="none"/>
          <w:u w:val="none"/>
        </w:rPr>
      </w:pPr>
      <w:r>
        <w:rPr>
          <w:highlight w:val="none"/>
          <w:u w:val="none"/>
        </w:rPr>
        <w:drawing>
          <wp:inline distT="0" distB="0" distL="114300" distR="114300">
            <wp:extent cx="4476750" cy="1991360"/>
            <wp:effectExtent l="0" t="0" r="0" b="8890"/>
            <wp:docPr id="5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7"/>
                    <pic:cNvPicPr>
                      <a:picLocks noChangeAspect="1"/>
                    </pic:cNvPicPr>
                  </pic:nvPicPr>
                  <pic:blipFill>
                    <a:blip r:embed="rId9"/>
                    <a:stretch>
                      <a:fillRect/>
                    </a:stretch>
                  </pic:blipFill>
                  <pic:spPr>
                    <a:xfrm>
                      <a:off x="0" y="0"/>
                      <a:ext cx="4476750" cy="1991360"/>
                    </a:xfrm>
                    <a:prstGeom prst="rect">
                      <a:avLst/>
                    </a:prstGeom>
                    <a:noFill/>
                    <a:ln>
                      <a:noFill/>
                    </a:ln>
                  </pic:spPr>
                </pic:pic>
              </a:graphicData>
            </a:graphic>
          </wp:inline>
        </w:drawing>
      </w:r>
    </w:p>
    <w:p>
      <w:pPr>
        <w:keepNext w:val="0"/>
        <w:keepLines w:val="0"/>
        <w:pageBreakBefore w:val="0"/>
        <w:widowControl w:val="0"/>
        <w:tabs>
          <w:tab w:val="left" w:pos="4200"/>
        </w:tabs>
        <w:kinsoku/>
        <w:wordWrap/>
        <w:overflowPunct/>
        <w:topLinePunct w:val="0"/>
        <w:autoSpaceDE/>
        <w:autoSpaceDN/>
        <w:bidi w:val="0"/>
        <w:adjustRightInd w:val="0"/>
        <w:snapToGrid w:val="0"/>
        <w:spacing w:line="380" w:lineRule="exact"/>
        <w:ind w:left="640" w:leftChars="0" w:right="0" w:rightChars="0" w:hanging="640" w:hanging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A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B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6"/>
          <w:szCs w:val="36"/>
          <w:highlight w:val="none"/>
          <w:u w:val="none"/>
        </w:rPr>
        <w:t xml:space="preserve"> </w:t>
      </w:r>
      <w:r>
        <w:rPr>
          <w:rFonts w:hint="default" w:ascii="Times New Roman" w:hAnsi="Times New Roman" w:eastAsia="仿宋_GB2312" w:cs="Times New Roman"/>
          <w:color w:val="auto"/>
          <w:sz w:val="32"/>
          <w:szCs w:val="32"/>
          <w:highlight w:val="none"/>
          <w:u w:val="none"/>
        </w:rPr>
        <w:t xml:space="preserve">C  </w:t>
      </w:r>
      <w:r>
        <w:rPr>
          <w:rFonts w:hint="default"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6"/>
          <w:szCs w:val="36"/>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元素组成相似，且相同元素重复出现，优先考虑遍历。九宫格优先看横行，如下图所示，第一行图形中，图1和图2相同的小图形圆，移动到图3左上角的位置，第二行图形中，图1和图2相同的小图形三角形，移动到图3左上角的位置，验证符合此规律，第三行应用此规律，图1和图2相同的图形为十字多边形，则</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处左上角的图形为十字多边形，只有A选项符合。故正确答案为</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第二种题型：定义判断。</w:t>
      </w:r>
      <w:r>
        <w:rPr>
          <w:rFonts w:hint="default" w:ascii="Times New Roman" w:hAnsi="Times New Roman" w:eastAsia="仿宋_GB2312" w:cs="Times New Roman"/>
          <w:sz w:val="32"/>
          <w:szCs w:val="32"/>
          <w:highlight w:val="none"/>
          <w:u w:val="none"/>
        </w:rPr>
        <w:t>每道题先对相关概念进行定义，然后分别列出四种情况，要求报考者严格依据定义选出一个最符合或最不符合该定义的答案。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环境侵权是指由于人类活动导致了环境的污染和破坏，从而对他人的财产权、人身权和环境权造成损害，依法应承担民事责任的特殊侵权行为。环境侵权的构成要件应该包括：污染破坏环境的行为、损害事实、污染破坏环境的行为与损害事实之间的因果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根据上述定义，下列属于环境侵权的是：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A．某地发生地震后水泥厂排污管破裂，漏出的</w:t>
      </w:r>
      <w:r>
        <w:rPr>
          <w:rFonts w:hint="default" w:ascii="Times New Roman" w:hAnsi="Times New Roman" w:eastAsia="仿宋_GB2312" w:cs="Times New Roman"/>
          <w:color w:val="auto"/>
          <w:spacing w:val="-6"/>
          <w:sz w:val="32"/>
          <w:szCs w:val="32"/>
          <w:highlight w:val="none"/>
          <w:u w:val="none"/>
          <w:lang w:val="en-US" w:eastAsia="zh-CN"/>
        </w:rPr>
        <w:t>污水导致下游水域水质发黄浑浊，水中的大批鱼类死亡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B．某村民在马路上晾晒粮食，在太阳的暴晒下，粮食沾染了沥青中的挥发物，食用后他出现了</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HYPERLINK "http://www.so.com/s?q=%E5%92%B3%E5%97%BD&amp;ie=utf-8&amp;src=internal_wenda_recommend_textn" \t "_blank"</w:instrText>
      </w:r>
      <w:r>
        <w:rPr>
          <w:rFonts w:hint="default" w:ascii="Times New Roman" w:hAnsi="Times New Roman" w:eastAsia="仿宋_GB2312" w:cs="Times New Roman"/>
          <w:color w:val="auto"/>
          <w:sz w:val="32"/>
          <w:szCs w:val="32"/>
          <w:highlight w:val="none"/>
          <w:u w:val="none"/>
          <w:lang w:val="en-US" w:eastAsia="zh-CN"/>
        </w:rPr>
        <w:fldChar w:fldCharType="separate"/>
      </w:r>
      <w:r>
        <w:rPr>
          <w:rFonts w:hint="default" w:ascii="Times New Roman" w:hAnsi="Times New Roman" w:eastAsia="仿宋_GB2312" w:cs="Times New Roman"/>
          <w:color w:val="auto"/>
          <w:sz w:val="32"/>
          <w:szCs w:val="32"/>
          <w:highlight w:val="none"/>
          <w:u w:val="none"/>
          <w:lang w:val="en-US" w:eastAsia="zh-CN"/>
        </w:rPr>
        <w:t>咳嗽</w:t>
      </w:r>
      <w:r>
        <w:rPr>
          <w:rFonts w:hint="default" w:ascii="Times New Roman" w:hAnsi="Times New Roman" w:eastAsia="仿宋_GB2312" w:cs="Times New Roman"/>
          <w:color w:val="auto"/>
          <w:sz w:val="32"/>
          <w:szCs w:val="32"/>
          <w:highlight w:val="none"/>
          <w:u w:val="none"/>
          <w:lang w:val="en-US" w:eastAsia="zh-CN"/>
        </w:rPr>
        <w:fldChar w:fldCharType="end"/>
      </w:r>
      <w:r>
        <w:rPr>
          <w:rFonts w:hint="default" w:ascii="Times New Roman" w:hAnsi="Times New Roman" w:eastAsia="仿宋_GB2312" w:cs="Times New Roman"/>
          <w:color w:val="auto"/>
          <w:sz w:val="32"/>
          <w:szCs w:val="32"/>
          <w:highlight w:val="none"/>
          <w:u w:val="none"/>
          <w:lang w:val="en-US" w:eastAsia="zh-CN"/>
        </w:rPr>
        <w:t>、胸闷、恶心等症状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C．某幢住宅距离环城公路20米，居民们觉得过往车辆发出的噪声在夜间都有不同程度的超标，其身体健康受到很大损害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D．某公司运输车辆在公路发生意外，变压器油泄露至路边的鱼塘，经检测，鱼塘内的挥发酚、石油类浓度均超标，导致数十万元经济损失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D。A选项是因为地震导致鱼类死亡，不属于人类活动，排除；B选项不存在污染破坏环境的行为，排除；C选项中的交通噪声属于变动不定的因素，具有高度不确定性，因果关系不明，排除。故正确答案为D。）</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第三种题型：逻辑判断。</w:t>
      </w:r>
      <w:r>
        <w:rPr>
          <w:rFonts w:hint="default" w:ascii="Times New Roman" w:hAnsi="Times New Roman" w:eastAsia="仿宋_GB2312" w:cs="Times New Roman"/>
          <w:sz w:val="32"/>
          <w:szCs w:val="32"/>
          <w:highlight w:val="none"/>
          <w:u w:val="none"/>
        </w:rPr>
        <w:t>每道题给出一段陈述，这段陈述被假设是正确的，不容置疑的。要求报考者根据这段陈述，运用一定的逻辑推论，选择一个最恰当的答案。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研究表明，我们口腔中大约有700种细菌驻扎，其中12种被认为是“坏细菌”，也就是致病细菌。在已知引起和发展牙周炎的所有细菌种类中，有一种叫牙龈卟啉单胞菌的细菌，它是一种主要的牙周病原体，也是臭名昭著的“免疫逃避大王”，极具侵略性。某研究发现，感染牙龈卟啉单胞菌的动物模型显示出海马体损伤。海马体是与记忆最相关的大脑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由此可以推出：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pacing w:val="-6"/>
          <w:sz w:val="32"/>
          <w:szCs w:val="32"/>
          <w:highlight w:val="none"/>
          <w:u w:val="none"/>
          <w:lang w:val="en-US" w:eastAsia="zh-CN"/>
        </w:rPr>
        <w:t>患严重牙周炎的人患认知障碍或痴呆症的风险较大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lang w:val="en-US" w:eastAsia="zh-CN"/>
        </w:rPr>
        <w:t>没有口腔问题的人都不太可能出现思维问题或痴呆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C．从口腔到大脑的病程过渡始于牙周炎的发展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D．加强口腔健康就能改善大脑记忆功能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（答案：A。</w:t>
      </w: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“没有口腔问题的人”</w:t>
      </w:r>
      <w:r>
        <w:rPr>
          <w:rFonts w:hint="default" w:ascii="Times New Roman" w:hAnsi="Times New Roman" w:eastAsia="仿宋_GB2312" w:cs="Times New Roman"/>
          <w:color w:val="auto"/>
          <w:sz w:val="32"/>
          <w:szCs w:val="32"/>
          <w:highlight w:val="none"/>
          <w:u w:val="none"/>
        </w:rPr>
        <w:t>的情况，无法推出；</w:t>
      </w:r>
      <w:r>
        <w:rPr>
          <w:rFonts w:hint="default"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选项：题干并未提及从口腔到大脑的病程过渡始于什么，无法推出；</w:t>
      </w:r>
      <w:r>
        <w:rPr>
          <w:rFonts w:hint="default"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“加强口腔健康”</w:t>
      </w:r>
      <w:r>
        <w:rPr>
          <w:rFonts w:hint="default" w:ascii="Times New Roman" w:hAnsi="Times New Roman" w:eastAsia="仿宋_GB2312" w:cs="Times New Roman"/>
          <w:color w:val="auto"/>
          <w:sz w:val="32"/>
          <w:szCs w:val="32"/>
          <w:highlight w:val="none"/>
          <w:u w:val="none"/>
        </w:rPr>
        <w:t>的结果，无法推出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选项：根据</w:t>
      </w:r>
      <w:r>
        <w:rPr>
          <w:rFonts w:hint="eastAsia" w:ascii="仿宋_GB2312" w:hAnsi="仿宋_GB2312" w:eastAsia="仿宋_GB2312" w:cs="仿宋_GB2312"/>
          <w:color w:val="auto"/>
          <w:sz w:val="32"/>
          <w:szCs w:val="32"/>
          <w:highlight w:val="none"/>
          <w:u w:val="none"/>
        </w:rPr>
        <w:t>“感染牙龈卟啉单胞菌的动物模型显示出海马体损伤。海马体是以记忆相关的大脑区域”</w:t>
      </w:r>
      <w:r>
        <w:rPr>
          <w:rFonts w:hint="default" w:ascii="Times New Roman" w:hAnsi="Times New Roman" w:eastAsia="仿宋_GB2312" w:cs="Times New Roman"/>
          <w:color w:val="auto"/>
          <w:sz w:val="32"/>
          <w:szCs w:val="32"/>
          <w:highlight w:val="none"/>
          <w:u w:val="none"/>
        </w:rPr>
        <w:t>可以得到该项，可以推出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故正确答案为</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第四种题型：类比推理。</w:t>
      </w:r>
      <w:r>
        <w:rPr>
          <w:rFonts w:hint="default" w:ascii="Times New Roman" w:hAnsi="Times New Roman" w:eastAsia="仿宋_GB2312" w:cs="Times New Roman"/>
          <w:sz w:val="32"/>
          <w:szCs w:val="32"/>
          <w:highlight w:val="none"/>
          <w:u w:val="none"/>
        </w:rPr>
        <w:t>给出一组相关的词，要求通过观察分析，在备选答案中找出一组与之在逻辑关系上最为贴近或相似的词。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酱油︰调料︰豆子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A．香油︰麻油︰芝麻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B．白酒︰小麦︰乙醇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C．煤炭︰能源︰化石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D．果汁︰饮料︰水果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首先，确定题干逻辑关系。“酱油”属于“调料”，是用“豆子”做的，即“豆子”是“酱油”的原材料。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其次，辨析选项。A选项：“香油”“麻油”属于并列关系，排除；B选项：“白酒”和“乙醇”属于等同关系，排除；C选项：“化石”不是“煤炭”的原材料，排除；D选项：“果汁”属于“饮料”，是由“水果”得到的，与题干逻辑关系一致，符合</w:t>
      </w:r>
      <w:r>
        <w:rPr>
          <w:rFonts w:hint="eastAsia" w:ascii="Times New Roman" w:hAnsi="Times New Roman" w:eastAsia="仿宋_GB2312" w:cs="Times New Roman"/>
          <w:color w:val="auto"/>
          <w:sz w:val="32"/>
          <w:szCs w:val="32"/>
          <w:highlight w:val="none"/>
          <w:u w:val="none"/>
          <w:lang w:eastAsia="zh-CN"/>
        </w:rPr>
        <w:t>选题要求。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六</w:t>
      </w:r>
      <w:r>
        <w:rPr>
          <w:rFonts w:hint="default" w:ascii="Times New Roman" w:hAnsi="Times New Roman" w:eastAsia="楷体" w:cs="Times New Roman"/>
          <w:sz w:val="32"/>
          <w:szCs w:val="32"/>
          <w:highlight w:val="none"/>
          <w:u w:val="none"/>
        </w:rPr>
        <w:t>）资料分析。</w:t>
      </w:r>
      <w:r>
        <w:rPr>
          <w:rFonts w:hint="default" w:ascii="Times New Roman" w:hAnsi="Times New Roman" w:eastAsia="仿宋_GB2312" w:cs="Times New Roman"/>
          <w:sz w:val="32"/>
          <w:szCs w:val="32"/>
          <w:highlight w:val="none"/>
          <w:u w:val="none"/>
        </w:rPr>
        <w:t>主要测查报考者对文字、数字、图表等统计性资料的综合理解与分析加工能力。常用题型：由统计性的图表、数字及文字材料构成。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object>
          <v:shape id="_x0000_i1034" o:spt="75" type="#_x0000_t75" style="height:0.05pt;width:0.05pt;" o:ole="t" filled="f" stroked="f" coordsize="21600,21600">
            <v:path/>
            <v:fill on="f" focussize="0,0"/>
            <v:stroke on="f"/>
            <v:imagedata o:title=""/>
            <o:lock v:ext="edit" aspectratio="t"/>
            <w10:wrap type="none"/>
            <w10:anchorlock/>
          </v:shape>
          <o:OLEObject Type="Link" ProgID="Excel.Sheet.12" ShapeID="_x0000_i1034" UpdateMode="Always" DrawAspect="Content" ObjectID="_1468075725" r:id="rId10">
            <o:LinkType>EnhancedMetaFile</o:LinkType>
            <o:LockedField>false</o:LockedField>
          </o:OLEObject>
        </w:object>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object>
          <v:shape id="_x0000_i1035" o:spt="75" type="#_x0000_t75" style="height:0.05pt;width:0.05pt;" o:ole="t" filled="f" stroked="f" coordsize="21600,21600">
            <v:path/>
            <v:fill on="f" focussize="0,0"/>
            <v:stroke on="f"/>
            <v:imagedata o:title=""/>
            <o:lock v:ext="edit" aspectratio="t"/>
            <w10:wrap type="none"/>
            <w10:anchorlock/>
          </v:shape>
          <o:OLEObject Type="Link" ProgID="Excel.Sheet.12" ShapeID="_x0000_i1035" UpdateMode="Always" DrawAspect="Content" ObjectID="_1468075726" r:id="rId10">
            <o:LinkType>EnhancedMetaFile</o:LinkType>
            <o:LockedField>false</o:LockedField>
          </o:OLEObject>
        </w:object>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object>
          <v:shape id="_x0000_i1036" o:spt="75" type="#_x0000_t75" style="height:0.05pt;width:0.05pt;" o:ole="t" filled="f" stroked="f" coordsize="21600,21600">
            <v:path/>
            <v:fill on="f" focussize="0,0"/>
            <v:stroke on="f"/>
            <v:imagedata o:title=""/>
            <o:lock v:ext="edit" aspectratio="t"/>
            <w10:wrap type="none"/>
            <w10:anchorlock/>
          </v:shape>
          <o:OLEObject Type="Link" ProgID="Excel.Sheet.12" ShapeID="_x0000_i1036" UpdateMode="Always" DrawAspect="Content" ObjectID="_1468075727" r:id="rId10">
            <o:LinkType>EnhancedMetaFile</o:LinkType>
            <o:LockedField>false</o:LockedField>
          </o:OLEObject>
        </w:object>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object>
          <v:shape id="_x0000_i1037" o:spt="75" type="#_x0000_t75" style="height:0.05pt;width:0.05pt;" o:ole="t" filled="f" stroked="f" coordsize="21600,21600">
            <v:path/>
            <v:fill on="f" focussize="0,0"/>
            <v:stroke on="f"/>
            <v:imagedata o:title=""/>
            <o:lock v:ext="edit" aspectratio="t"/>
            <w10:wrap type="none"/>
            <w10:anchorlock/>
          </v:shape>
          <o:OLEObject Type="Link" ProgID="Excel.Sheet.12" ShapeID="_x0000_i1037" UpdateMode="Always" DrawAspect="Content" ObjectID="_1468075728" r:id="rId10">
            <o:LinkType>EnhancedMetaFile</o:LinkType>
            <o:LockedField>false</o:LockedField>
          </o:OLEObject>
        </w:object>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object>
          <v:shape id="_x0000_i1038" o:spt="75" type="#_x0000_t75" style="height:0.05pt;width:0.05pt;" o:ole="t" filled="f" stroked="f" coordsize="21600,21600">
            <v:path/>
            <v:fill on="f" focussize="0,0"/>
            <v:stroke on="f"/>
            <v:imagedata o:title=""/>
            <o:lock v:ext="edit" aspectratio="t"/>
            <w10:wrap type="none"/>
            <w10:anchorlock/>
          </v:shape>
          <o:OLEObject Type="Link" ProgID="Excel.Sheet.12" ShapeID="_x0000_i1038" UpdateMode="Always" DrawAspect="Content" ObjectID="_1468075729" r:id="rId10">
            <o:LinkType>EnhancedMetaFile</o:LinkType>
            <o:LockedField>false</o:LockedField>
          </o:OLEObject>
        </w:object>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object>
          <v:shape id="_x0000_i1039" o:spt="75" type="#_x0000_t75" style="height:0.05pt;width:0.05pt;" o:ole="t" filled="f" stroked="f" coordsize="21600,21600">
            <v:path/>
            <v:fill on="f" focussize="0,0"/>
            <v:stroke on="f"/>
            <v:imagedata o:title=""/>
            <o:lock v:ext="edit" aspectratio="t"/>
            <w10:wrap type="none"/>
            <w10:anchorlock/>
          </v:shape>
          <o:OLEObject Type="Link" ProgID="Excel.Sheet.12" ShapeID="_x0000_i1039" UpdateMode="Always" DrawAspect="Content" ObjectID="_1468075730" r:id="rId10">
            <o:LinkType>EnhancedMetaFile</o:LinkType>
            <o:LockedField>false</o:LockedField>
          </o:OLEObject>
        </w:object>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object>
          <v:shape id="_x0000_i1040" o:spt="75" type="#_x0000_t75" style="height:0.05pt;width:0.05pt;" o:ole="t" filled="f" stroked="f" coordsize="21600,21600">
            <v:path/>
            <v:fill on="f" focussize="0,0"/>
            <v:stroke on="f"/>
            <v:imagedata o:title=""/>
            <o:lock v:ext="edit" aspectratio="t"/>
            <w10:wrap type="none"/>
            <w10:anchorlock/>
          </v:shape>
          <o:OLEObject Type="Link" ProgID="Excel.Sheet.12" ShapeID="_x0000_i1040" UpdateMode="Always" DrawAspect="Content" ObjectID="_1468075731" r:id="rId10">
            <o:LinkType>EnhancedMetaFile</o:LinkType>
            <o:LockedField>false</o:LockedField>
          </o:OLEObject>
        </w:object>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object>
          <v:shape id="_x0000_i1041" o:spt="75" type="#_x0000_t75" style="height:0.05pt;width:0.05pt;" o:ole="t" filled="f" stroked="f" coordsize="21600,21600">
            <v:path/>
            <v:fill on="f" focussize="0,0"/>
            <v:stroke on="f"/>
            <v:imagedata o:title=""/>
            <o:lock v:ext="edit" aspectratio="t"/>
            <w10:wrap type="none"/>
            <w10:anchorlock/>
          </v:shape>
          <o:OLEObject Type="Link" ProgID="Excel.Sheet.12" ShapeID="_x0000_i1041" UpdateMode="Always" DrawAspect="Content" ObjectID="_1468075732" r:id="rId10">
            <o:LinkType>EnhancedMetaFile</o:LinkType>
            <o:LockedField>false</o:LockedField>
          </o:OLEObject>
        </w:object>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object>
          <v:shape id="_x0000_i1042" o:spt="75" type="#_x0000_t75" style="height:0.05pt;width:0.05pt;" o:ole="t" filled="f" stroked="f" coordsize="21600,21600">
            <v:path/>
            <v:fill on="f" focussize="0,0"/>
            <v:stroke on="f"/>
            <v:imagedata o:title=""/>
            <o:lock v:ext="edit" aspectratio="t"/>
            <w10:wrap type="none"/>
            <w10:anchorlock/>
          </v:shape>
          <o:OLEObject Type="Link" ProgID="Excel.Sheet.12" ShapeID="_x0000_i1042" UpdateMode="Always" DrawAspect="Content" ObjectID="_1468075733" r:id="rId10">
            <o:LinkType>EnhancedMetaFile</o:LinkType>
            <o:LockedField>false</o:LockedField>
          </o:OLEObject>
        </w:object>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sz w:val="32"/>
          <w:szCs w:val="32"/>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 MERGEFORMAT</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"Sheet1![2018年-2022年全国体育场地数量及面积.xlsx]Sheet1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fldChar w:fldCharType="begin"/>
      </w:r>
      <w:r>
        <w:rPr>
          <w:rFonts w:hint="default" w:ascii="Times New Roman" w:hAnsi="Times New Roman" w:eastAsia="仿宋_GB2312" w:cs="Times New Roman"/>
          <w:sz w:val="32"/>
          <w:szCs w:val="32"/>
          <w:highlight w:val="none"/>
          <w:u w:val="none"/>
        </w:rPr>
        <w:instrText xml:space="preserve"> LINK Excel.Sheet.12 "C:\\Users\\Lenovo\\Desktop\\资料分析（刘叶志 2023.07.10）\\图、表源文件（刘叶志 2023.07.10）\\第二题\\2018年-2022年全国体育场地数量及面积.xlsx" "Sheet1!%5b2018年-2022年全国体育场地数量及面积.xlsx%5dSheet1 图表 1" \a \p </w:instrText>
      </w:r>
      <w:r>
        <w:rPr>
          <w:rFonts w:hint="default" w:ascii="Times New Roman" w:hAnsi="Times New Roman" w:eastAsia="仿宋_GB2312" w:cs="Times New Roman"/>
          <w:sz w:val="32"/>
          <w:szCs w:val="32"/>
          <w:highlight w:val="none"/>
          <w:u w:val="none"/>
        </w:rPr>
        <w:fldChar w:fldCharType="separate"/>
      </w:r>
      <w:r>
        <w:rPr>
          <w:rFonts w:hint="default" w:ascii="Times New Roman" w:hAnsi="Times New Roman" w:eastAsia="仿宋_GB2312" w:cs="Times New Roman"/>
          <w:sz w:val="32"/>
          <w:szCs w:val="32"/>
          <w:highlight w:val="none"/>
          <w:u w:val="none"/>
        </w:rPr>
        <w:object>
          <v:shape id="_x0000_i1043" o:spt="75" type="#_x0000_t75" style="height:0.05pt;width:0.05pt;" o:ole="t" filled="f" stroked="f" coordsize="21600,21600">
            <v:path/>
            <v:fill on="f" focussize="0,0"/>
            <v:stroke on="f"/>
            <v:imagedata o:title=""/>
            <o:lock v:ext="edit" aspectratio="t"/>
            <w10:wrap type="none"/>
            <w10:anchorlock/>
          </v:shape>
          <o:OLEObject Type="Link" ProgID="Excel.Sheet.12" ShapeID="_x0000_i1043" UpdateMode="Always" DrawAspect="Content" ObjectID="_1468075734" r:id="rId10">
            <o:LinkType>EnhancedMetaFile</o:LinkType>
            <o:LockedField>false</o:LockedField>
          </o:OLEObject>
        </w:object>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default" w:ascii="Times New Roman" w:hAnsi="Times New Roman" w:eastAsia="仿宋_GB2312" w:cs="Times New Roman"/>
          <w:sz w:val="32"/>
          <w:szCs w:val="32"/>
          <w:highlight w:val="none"/>
          <w:u w:val="none"/>
        </w:rPr>
        <w:fldChar w:fldCharType="end"/>
      </w:r>
      <w:r>
        <w:rPr>
          <w:rFonts w:hint="eastAsia" w:ascii="Times New Roman" w:hAnsi="Times New Roman" w:eastAsia="仿宋_GB2312" w:cs="Times New Roman"/>
          <w:sz w:val="32"/>
          <w:szCs w:val="32"/>
          <w:highlight w:val="none"/>
          <w:u w:val="none"/>
          <w:lang w:val="en-US" w:eastAsia="zh-CN"/>
        </w:rPr>
        <w:t>2023年，我国数字经济规模持续壮大。数字经济核心产业增加值超过12万亿元，约占GDP的10%。电子信息制造业增加值同比增长3.4%；电信业务收入1.68万亿元；互联网业务收入1.75万亿元；软件业务收入12.33万亿元。以云计算、大数据、物联网等为代表的新兴业务中，云计算、大数据业务收入同比增长37.5%，物联网业务收入同比增长20.3%。高技术制造业、高技术服务业投资分别同比增长9.9%、11.4%。高技术制造业中，计算机、通信和其他电子设备制造业投资同比增长9.3%。</w:t>
      </w:r>
    </w:p>
    <w:p>
      <w:pPr>
        <w:pStyle w:val="5"/>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仿宋_GB2312"/>
          <w:b/>
          <w:color w:val="auto"/>
          <w:kern w:val="0"/>
          <w:sz w:val="28"/>
          <w:szCs w:val="28"/>
          <w:highlight w:val="none"/>
          <w:u w:val="none"/>
          <w:shd w:val="clear" w:color="auto" w:fill="auto"/>
        </w:rPr>
      </w:pPr>
      <w:r>
        <w:rPr>
          <w:rFonts w:hint="default" w:ascii="Times New Roman" w:hAnsi="Times New Roman" w:eastAsia="黑体" w:cs="Times New Roman"/>
          <w:bCs/>
          <w:color w:val="auto"/>
          <w:kern w:val="0"/>
          <w:sz w:val="28"/>
          <w:szCs w:val="28"/>
          <w:highlight w:val="none"/>
          <w:u w:val="none"/>
          <w:shd w:val="clear" w:color="auto" w:fill="auto"/>
        </w:rPr>
        <w:t>表1   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2023年部分数字经济指标同比增速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1440"/>
        <w:gridCol w:w="1230"/>
        <w:gridCol w:w="1170"/>
        <w:gridCol w:w="1290"/>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仿宋_GB2312"/>
                <w:color w:val="auto"/>
                <w:kern w:val="0"/>
                <w:sz w:val="28"/>
                <w:szCs w:val="28"/>
                <w:highlight w:val="none"/>
                <w:u w:val="none"/>
                <w:shd w:val="clear" w:color="auto" w:fill="auto"/>
              </w:rPr>
            </w:pP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2019年</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2020年</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2021年</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2022年</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电子信息制造业增加值</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7.7%</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15.7%</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7.6%</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互联网业务收入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21.2%</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软件业务收入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13.2%</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17.1%</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全部固定资产投资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2.9%</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4.9%</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计算机、通信和其他电子设备制造业投资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16.8%</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22.3%</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18.8%</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r>
    </w:tbl>
    <w:p>
      <w:pPr>
        <w:spacing w:before="240" w:after="60"/>
        <w:jc w:val="center"/>
        <w:outlineLvl w:val="0"/>
        <w:rPr>
          <w:rFonts w:eastAsia="仿宋_GB2312"/>
          <w:b/>
          <w:bCs/>
          <w:color w:val="auto"/>
          <w:kern w:val="0"/>
          <w:sz w:val="24"/>
          <w:highlight w:val="none"/>
          <w:u w:val="none"/>
          <w:shd w:val="clear" w:color="auto" w:fill="auto"/>
        </w:rPr>
      </w:pPr>
      <w:r>
        <w:rPr>
          <w:rFonts w:eastAsia="仿宋_GB2312"/>
          <w:b/>
          <w:bCs/>
          <w:color w:val="auto"/>
          <w:kern w:val="0"/>
          <w:sz w:val="24"/>
          <w:highlight w:val="none"/>
          <w:u w:val="none"/>
          <w:shd w:val="clear" w:color="auto" w:fill="auto"/>
        </w:rPr>
        <w:drawing>
          <wp:inline distT="0" distB="0" distL="114300" distR="114300">
            <wp:extent cx="4320540" cy="2280285"/>
            <wp:effectExtent l="0" t="0" r="3810" b="5715"/>
            <wp:docPr id="54" name="图片 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8" descr="图片1"/>
                    <pic:cNvPicPr>
                      <a:picLocks noChangeAspect="1"/>
                    </pic:cNvPicPr>
                  </pic:nvPicPr>
                  <pic:blipFill>
                    <a:blip r:embed="rId11"/>
                    <a:srcRect l="10223" t="3410" r="1038" b="2852"/>
                    <a:stretch>
                      <a:fillRect/>
                    </a:stretch>
                  </pic:blipFill>
                  <pic:spPr>
                    <a:xfrm>
                      <a:off x="0" y="0"/>
                      <a:ext cx="4320540" cy="228028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color w:val="auto"/>
          <w:sz w:val="16"/>
          <w:szCs w:val="16"/>
          <w:highlight w:val="none"/>
          <w:u w:val="none"/>
          <w:lang w:val="en-US" w:eastAsia="zh-CN"/>
        </w:rPr>
      </w:pP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图1</w:t>
      </w: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2023年通信领域电信业务及新兴业务收入发展情况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1．2022年我国软件业务收入在以下哪个范围：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A．10.7~10.9万亿元       B．10.9~11.1万亿元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 xml:space="preserve">C．11.1~11.3万亿元     </w:t>
      </w:r>
      <w:r>
        <w:rPr>
          <w:rFonts w:hint="eastAsia" w:ascii="Times New Roman" w:hAnsi="Times New Roman" w:eastAsia="仿宋_GB2312" w:cs="Times New Roman"/>
          <w:color w:val="auto"/>
          <w:sz w:val="40"/>
          <w:szCs w:val="40"/>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D．11.3~11.5万亿元</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2．2023年新兴业务收入与电信业务收入的比值较2019年上升了约：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A．11个百分点</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B．10.7个百分点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C．10.3个百分点         D．9.8个百分点</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3．2019~2023年，互联网业务收入同比增速高于电子信息制造业增加值同比增速的年份有：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A．4个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44"/>
          <w:szCs w:val="44"/>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B．3个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bookmarkStart w:id="0" w:name="_GoBack"/>
      <w:bookmarkEnd w:id="0"/>
      <w:r>
        <w:rPr>
          <w:rFonts w:hint="eastAsia" w:ascii="Times New Roman" w:hAnsi="Times New Roman" w:eastAsia="仿宋_GB2312" w:cs="Times New Roman"/>
          <w:color w:val="auto"/>
          <w:sz w:val="32"/>
          <w:szCs w:val="32"/>
          <w:highlight w:val="none"/>
          <w:u w:val="none"/>
          <w:lang w:val="en-US" w:eastAsia="zh-CN"/>
        </w:rPr>
        <w:t xml:space="preserve"> D．1个</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4．2019~2023年数字经济指标的同比增速趋势与如下折线图相符的是：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sz w:val="32"/>
          <w:szCs w:val="32"/>
          <w:highlight w:val="none"/>
          <w:u w:val="none"/>
          <w:lang w:val="en-US" w:eastAsia="zh-CN"/>
        </w:rPr>
      </w:pPr>
      <w:r>
        <w:rPr>
          <w:highlight w:val="none"/>
          <w:u w:val="none"/>
        </w:rPr>
        <w:drawing>
          <wp:inline distT="0" distB="0" distL="114300" distR="114300">
            <wp:extent cx="2752090" cy="1351915"/>
            <wp:effectExtent l="0" t="0" r="10160" b="635"/>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pic:cNvPicPr>
                      <a:picLocks noChangeAspect="1"/>
                    </pic:cNvPicPr>
                  </pic:nvPicPr>
                  <pic:blipFill>
                    <a:blip r:embed="rId12"/>
                    <a:stretch>
                      <a:fillRect/>
                    </a:stretch>
                  </pic:blipFill>
                  <pic:spPr>
                    <a:xfrm>
                      <a:off x="0" y="0"/>
                      <a:ext cx="2752090" cy="13519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B．互联网业务收入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C．全部固定资产投资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D．电子信息制造业增加值</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5．能够从上述资料中推出的是：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11"/>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eastAsia" w:ascii="Times New Roman" w:hAnsi="Times New Roman" w:eastAsia="仿宋_GB2312" w:cs="Times New Roman"/>
          <w:color w:val="auto"/>
          <w:spacing w:val="-11"/>
          <w:sz w:val="32"/>
          <w:szCs w:val="32"/>
          <w:highlight w:val="none"/>
          <w:u w:val="none"/>
          <w:lang w:val="en-US" w:eastAsia="zh-CN"/>
        </w:rPr>
        <w:t>2023年，高技术制造业投资低于高技术服务业投资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B．2021~2023年新兴业务收入与电信业务收入的比值逐年上升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C．2023年，电信业务收入与互联网业务收入之和高于软件业务收入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D．2023年计算机、通信和其他电子设备制造业投资较2020年翻了一番</w:t>
      </w:r>
    </w:p>
    <w:p>
      <w:pPr>
        <w:keepNext w:val="0"/>
        <w:keepLines w:val="0"/>
        <w:pageBreakBefore w:val="0"/>
        <w:widowControl/>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黑体" w:hAnsi="黑体" w:eastAsia="黑体"/>
          <w:color w:val="auto"/>
          <w:sz w:val="32"/>
          <w:szCs w:val="32"/>
          <w:highlight w:val="none"/>
          <w:u w:val="none"/>
          <w:lang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宋体"/>
          <w:bCs/>
          <w:color w:val="auto"/>
          <w:kern w:val="0"/>
          <w:sz w:val="32"/>
          <w:szCs w:val="32"/>
          <w:u w:val="none"/>
        </w:rPr>
      </w:pPr>
      <w:r>
        <w:rPr>
          <w:rFonts w:hint="eastAsia" w:ascii="黑体" w:hAnsi="黑体" w:eastAsia="黑体"/>
          <w:color w:val="auto"/>
          <w:sz w:val="32"/>
          <w:szCs w:val="32"/>
          <w:u w:val="none"/>
          <w:lang w:eastAsia="zh-CN"/>
        </w:rPr>
        <w:t>二</w:t>
      </w:r>
      <w:r>
        <w:rPr>
          <w:rFonts w:hint="eastAsia" w:ascii="黑体" w:hAnsi="黑体" w:eastAsia="黑体"/>
          <w:color w:val="auto"/>
          <w:sz w:val="32"/>
          <w:szCs w:val="32"/>
          <w:u w:val="none"/>
        </w:rPr>
        <w:t>、</w:t>
      </w:r>
      <w:r>
        <w:rPr>
          <w:rFonts w:ascii="黑体" w:hAnsi="黑体" w:eastAsia="黑体" w:cs="宋体"/>
          <w:bCs/>
          <w:color w:val="auto"/>
          <w:kern w:val="0"/>
          <w:sz w:val="32"/>
          <w:szCs w:val="32"/>
          <w:u w:val="none"/>
        </w:rPr>
        <w:t>申论</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并在答题卡上正确的位置作答。“给定资料”是需要报考者阅读的有关材料，是完成“作答要求”的基础。“给定资料”所反映的是经济社会发展中的某些事例，对经济、政治、文化、社会、生态等方面都有可能涉及。“作答要求”是报考者在阅读“给定资料”的基础上需要完成的若干任务。</w:t>
      </w:r>
      <w:r>
        <w:rPr>
          <w:rFonts w:hint="eastAsia" w:ascii="仿宋_GB2312" w:eastAsia="仿宋_GB2312" w:cs="仿宋_GB2312"/>
          <w:sz w:val="32"/>
          <w:szCs w:val="32"/>
          <w:u w:val="none"/>
        </w:rPr>
        <w:t>作答时要一格一字，不得超出每道题目的作答字数限制。</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申论试卷按照省市级综合管理类、县乡级综合管理类和行政执法类三类职位，分别命制试题。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（一）省市级综合管理类职位。</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主要测查报考者的阅读理解能力、综合分析能力、提出和解决问题能力、文字表达能力。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全面把握给定资料的相关内容，准确理解给定资料的含义，准确提炼事实所包含的观点，并揭示所反映的本质问题。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综合分析能力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对给定资料的全部或部分的内容、观点或问题进行分析和归纳，多角度地思考资料内容，作出合理的推断或评价。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提出和解决问题能力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w:t>
      </w:r>
      <w:r>
        <w:rPr>
          <w:rStyle w:val="8"/>
          <w:rFonts w:hint="eastAsia" w:ascii="仿宋_GB2312" w:hAnsi="微软雅黑" w:eastAsia="仿宋_GB2312" w:cs="仿宋_GB2312"/>
          <w:b w:val="0"/>
          <w:bCs w:val="0"/>
          <w:i w:val="0"/>
          <w:caps w:val="0"/>
          <w:color w:val="auto"/>
          <w:spacing w:val="0"/>
          <w:kern w:val="0"/>
          <w:sz w:val="32"/>
          <w:szCs w:val="32"/>
          <w:u w:val="none"/>
          <w:shd w:val="clear" w:color="auto" w:fill="FFFFFF"/>
          <w:lang w:val="en-US" w:eastAsia="zh-CN" w:bidi="ar"/>
        </w:rPr>
        <w:t>解把握给定资料所反映的问题，提出解决问题的措施或办法。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熟练使用指定的语种，运用说明、陈述、议论等方式，准确规范、简明畅达地表述思想观点。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sz w:val="32"/>
          <w:szCs w:val="32"/>
          <w:u w:val="none"/>
          <w:lang w:val="en-US" w:eastAsia="zh-CN"/>
        </w:rPr>
      </w:pPr>
      <w:r>
        <w:rPr>
          <w:rFonts w:hint="eastAsia" w:ascii="楷体_GB2312" w:hAnsi="微软雅黑" w:eastAsia="楷体_GB2312" w:cs="楷体_GB2312"/>
          <w:b w:val="0"/>
          <w:bCs w:val="0"/>
          <w:i w:val="0"/>
          <w:caps w:val="0"/>
          <w:color w:val="auto"/>
          <w:spacing w:val="-6"/>
          <w:kern w:val="0"/>
          <w:sz w:val="32"/>
          <w:szCs w:val="32"/>
          <w:u w:val="none"/>
          <w:shd w:val="clear" w:color="auto" w:fill="FFFFFF"/>
          <w:lang w:val="en-US" w:eastAsia="zh-CN" w:bidi="ar"/>
        </w:rPr>
        <w:t>（二）县乡级综合管理类职位。</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主要测查报考者的阅</w:t>
      </w:r>
      <w:r>
        <w:rPr>
          <w:rFonts w:hint="eastAsia" w:ascii="仿宋_GB2312" w:hAnsi="微软雅黑" w:eastAsia="仿宋_GB2312" w:cs="仿宋_GB2312"/>
          <w:i w:val="0"/>
          <w:caps w:val="0"/>
          <w:color w:val="auto"/>
          <w:spacing w:val="-11"/>
          <w:kern w:val="0"/>
          <w:sz w:val="32"/>
          <w:szCs w:val="32"/>
          <w:u w:val="none"/>
          <w:shd w:val="clear" w:color="auto" w:fill="FFFFFF"/>
          <w:lang w:val="en-US" w:eastAsia="zh-CN" w:bidi="ar"/>
        </w:rPr>
        <w:t>读理解能力、贯彻执行能力、解决问题能力和文字表达能力</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能够理解给定资料的主要内容，把握给定资料各部分之间的关系，对给定资料所涉及的观点、事实作出恰当的解释。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贯彻执行能力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能够准确理解工作目标和组织意图，遵循依法行政的原则，根据客观实际情况，及时有效地完成任务。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对给定资料所反映的问题进行分析，并提出解决的措施或办法。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hAnsi="Times New Roman" w:eastAsia="宋体" w:cs="Times New Roman"/>
          <w:color w:val="auto"/>
          <w:kern w:val="0"/>
          <w:sz w:val="32"/>
          <w:szCs w:val="32"/>
          <w:u w:val="none"/>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（三）行政执法类职位。</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主要测查报考者的阅读理解能力、依法办事能力、公共服务能力和文字表达能力。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准确理解归纳给定资料的主要内容，对所涉及的观点和事实进行恰当的解释，并作出合理的推断。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依法办事能力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遵循依法行政的原则，综合运用恰当有效的方法完成任务、解决问题、实现目标。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公共服务能力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能够全面准确了解公众需求和愿望，灵活运用各种措施和办法为公众提供优质、高效、便捷的服务。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sz w:val="32"/>
          <w:szCs w:val="32"/>
          <w:u w:val="none"/>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sectPr>
      <w:footerReference r:id="rId3" w:type="default"/>
      <w:pgSz w:w="11906" w:h="16838"/>
      <w:pgMar w:top="2268"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微软雅黑">
    <w:altName w:val="黑体"/>
    <w:panose1 w:val="020B0503020204020204"/>
    <w:charset w:val="86"/>
    <w:family w:val="auto"/>
    <w:pitch w:val="default"/>
    <w:sig w:usb0="00000000" w:usb1="00000000" w:usb2="00000016" w:usb3="00000000" w:csb0="0004001F" w:csb1="00000000"/>
  </w:font>
  <w:font w:name="华文行楷">
    <w:altName w:val="汉仪行楷简"/>
    <w:panose1 w:val="02010800040101010101"/>
    <w:charset w:val="86"/>
    <w:family w:val="auto"/>
    <w:pitch w:val="default"/>
    <w:sig w:usb0="00000000" w:usb1="00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MTYyYzNlNmNmMmQwMDlmZGQ3YTBmNDUyMGVhMWUifQ=="/>
  </w:docVars>
  <w:rsids>
    <w:rsidRoot w:val="00172A27"/>
    <w:rsid w:val="044E794D"/>
    <w:rsid w:val="11D417F2"/>
    <w:rsid w:val="12DD5256"/>
    <w:rsid w:val="13B442DF"/>
    <w:rsid w:val="14CB078C"/>
    <w:rsid w:val="15A73D02"/>
    <w:rsid w:val="1715C0BD"/>
    <w:rsid w:val="18943BEB"/>
    <w:rsid w:val="19AF5A77"/>
    <w:rsid w:val="1B1F5435"/>
    <w:rsid w:val="1E4F7FF8"/>
    <w:rsid w:val="1E50251B"/>
    <w:rsid w:val="1F6B3600"/>
    <w:rsid w:val="234B4A63"/>
    <w:rsid w:val="24A32EE9"/>
    <w:rsid w:val="2C171740"/>
    <w:rsid w:val="2DC266FA"/>
    <w:rsid w:val="34793E3F"/>
    <w:rsid w:val="35B30761"/>
    <w:rsid w:val="35F4777D"/>
    <w:rsid w:val="36D90211"/>
    <w:rsid w:val="37602B56"/>
    <w:rsid w:val="37DDA378"/>
    <w:rsid w:val="3A1D4352"/>
    <w:rsid w:val="3B7D8A44"/>
    <w:rsid w:val="3BAF2B3C"/>
    <w:rsid w:val="3C15482B"/>
    <w:rsid w:val="3E7796EE"/>
    <w:rsid w:val="3F3B85F0"/>
    <w:rsid w:val="3F7EB3DC"/>
    <w:rsid w:val="3FB3E1A1"/>
    <w:rsid w:val="40A213FC"/>
    <w:rsid w:val="41375F67"/>
    <w:rsid w:val="43B541A3"/>
    <w:rsid w:val="44DC491A"/>
    <w:rsid w:val="45BFBC21"/>
    <w:rsid w:val="461B4A12"/>
    <w:rsid w:val="49455549"/>
    <w:rsid w:val="4AB4481B"/>
    <w:rsid w:val="4BA611C3"/>
    <w:rsid w:val="4E997D95"/>
    <w:rsid w:val="4E9D66E4"/>
    <w:rsid w:val="4EA7263F"/>
    <w:rsid w:val="4FFECD94"/>
    <w:rsid w:val="577F9DCD"/>
    <w:rsid w:val="58D8399B"/>
    <w:rsid w:val="5A3592E0"/>
    <w:rsid w:val="5D9727EB"/>
    <w:rsid w:val="5EBF6012"/>
    <w:rsid w:val="5EFB2B17"/>
    <w:rsid w:val="5F3FC5AA"/>
    <w:rsid w:val="5FBB10FF"/>
    <w:rsid w:val="5FFB95C1"/>
    <w:rsid w:val="5FFEC5C8"/>
    <w:rsid w:val="60820545"/>
    <w:rsid w:val="638C2CB2"/>
    <w:rsid w:val="63AC7949"/>
    <w:rsid w:val="65FBA07E"/>
    <w:rsid w:val="67FDC9FF"/>
    <w:rsid w:val="693FE01B"/>
    <w:rsid w:val="69EF303B"/>
    <w:rsid w:val="6B8BF7CA"/>
    <w:rsid w:val="6DF62C02"/>
    <w:rsid w:val="6E6E54BD"/>
    <w:rsid w:val="6F1C4BF9"/>
    <w:rsid w:val="6F79E888"/>
    <w:rsid w:val="6FDAFE42"/>
    <w:rsid w:val="6FEB4654"/>
    <w:rsid w:val="74615A3C"/>
    <w:rsid w:val="7780362D"/>
    <w:rsid w:val="77FC081F"/>
    <w:rsid w:val="77FF148E"/>
    <w:rsid w:val="781C7FE1"/>
    <w:rsid w:val="7AB54639"/>
    <w:rsid w:val="7BFD2A68"/>
    <w:rsid w:val="7CC53096"/>
    <w:rsid w:val="7D0535AE"/>
    <w:rsid w:val="7DEB9171"/>
    <w:rsid w:val="7DF69DF6"/>
    <w:rsid w:val="7E9EADD1"/>
    <w:rsid w:val="7F3E8A21"/>
    <w:rsid w:val="7F77E2C2"/>
    <w:rsid w:val="7FA49342"/>
    <w:rsid w:val="7FBD44EF"/>
    <w:rsid w:val="7FDA3F07"/>
    <w:rsid w:val="7FFD2DE8"/>
    <w:rsid w:val="8F7DA621"/>
    <w:rsid w:val="9B7FEE60"/>
    <w:rsid w:val="AD5DBBD5"/>
    <w:rsid w:val="AF5E4AC5"/>
    <w:rsid w:val="AF6F661F"/>
    <w:rsid w:val="B86F37A6"/>
    <w:rsid w:val="B8EC10E0"/>
    <w:rsid w:val="BA7E1921"/>
    <w:rsid w:val="BBAEB499"/>
    <w:rsid w:val="BF679E25"/>
    <w:rsid w:val="BFD61C1A"/>
    <w:rsid w:val="D7EF26D1"/>
    <w:rsid w:val="DD77A4A4"/>
    <w:rsid w:val="DFB7EFEC"/>
    <w:rsid w:val="DFEC05EA"/>
    <w:rsid w:val="EBFF26CB"/>
    <w:rsid w:val="EBFFE92B"/>
    <w:rsid w:val="EDFF9242"/>
    <w:rsid w:val="EE381BC6"/>
    <w:rsid w:val="EEAF0CAD"/>
    <w:rsid w:val="EFF48623"/>
    <w:rsid w:val="F3A74FA9"/>
    <w:rsid w:val="F3FD7AAF"/>
    <w:rsid w:val="F6EFAD21"/>
    <w:rsid w:val="F6FF8A38"/>
    <w:rsid w:val="F7F7B00E"/>
    <w:rsid w:val="F7FF216E"/>
    <w:rsid w:val="F87BA194"/>
    <w:rsid w:val="FBFD3812"/>
    <w:rsid w:val="FCDD10EE"/>
    <w:rsid w:val="FD5BAA94"/>
    <w:rsid w:val="FDAB4E8B"/>
    <w:rsid w:val="FDFCD1C0"/>
    <w:rsid w:val="FEFBCC44"/>
    <w:rsid w:val="FEFF6140"/>
    <w:rsid w:val="FF2B8321"/>
    <w:rsid w:val="FF9F661B"/>
    <w:rsid w:val="FFDC2461"/>
    <w:rsid w:val="FFDDD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oleObject" Target="file:///C:\Users\Lenovo\Desktop\&#36164;&#26009;&#20998;&#26512;&#65288;&#21016;&#21494;&#24535;%202023.07.10&#65289;\&#22270;&#12289;&#34920;&#28304;&#25991;&#20214;&#65288;&#21016;&#21494;&#24535;%202023.07.10&#65289;\&#31532;&#20108;&#39064;\2018&#24180;-2022&#24180;&#20840;&#22269;&#20307;&#32946;&#22330;&#22320;&#25968;&#37327;&#21450;&#38754;&#31215;.xlsx!Sheet1!%5b2018&#24180;-2022&#24180;&#20840;&#22269;&#20307;&#32946;&#22330;&#22320;&#25968;&#37327;&#21450;&#38754;&#31215;.xlsx%5dSheet1%20&#22270;&#34920;%201"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7404</Words>
  <Characters>7725</Characters>
  <Lines>0</Lines>
  <Paragraphs>0</Paragraphs>
  <TotalTime>5</TotalTime>
  <ScaleCrop>false</ScaleCrop>
  <LinksUpToDate>false</LinksUpToDate>
  <CharactersWithSpaces>8270</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2025-12-02T16:40:00Z</dcterms:created>
  <dc:creator>Acer</dc:creator>
  <cp:lastModifiedBy>zzb</cp:lastModifiedBy>
  <cp:lastPrinted>2026-01-27T09:23:00Z</cp:lastPrinted>
  <dcterms:modified xsi:type="dcterms:W3CDTF">2026-02-02T18:02:15Z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F9B9EA42DF541513F0573A69C940074E</vt:lpwstr>
  </property>
</Properties>
</file>