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eastAsia" w:ascii="宋体" w:eastAsia="宋体"/>
          <w:sz w:val="32"/>
          <w:szCs w:val="32"/>
        </w:rPr>
      </w:pPr>
    </w:p>
    <w:p>
      <w:pPr>
        <w:spacing w:after="0" w:line="240" w:lineRule="auto"/>
        <w:rPr>
          <w:rFonts w:hint="eastAsia" w:ascii="宋体" w:eastAsia="宋体"/>
          <w:sz w:val="44"/>
          <w:szCs w:val="44"/>
        </w:rPr>
      </w:pPr>
    </w:p>
    <w:p>
      <w:pPr>
        <w:spacing w:after="0" w:line="240" w:lineRule="auto"/>
        <w:rPr>
          <w:rFonts w:hint="eastAsia" w:ascii="宋体" w:eastAsia="宋体"/>
          <w:sz w:val="44"/>
          <w:szCs w:val="44"/>
        </w:rPr>
      </w:pPr>
    </w:p>
    <w:p>
      <w:pPr>
        <w:spacing w:after="0" w:line="240" w:lineRule="auto"/>
        <w:rPr>
          <w:rFonts w:hint="eastAsia" w:ascii="宋体" w:eastAsia="宋体"/>
          <w:sz w:val="44"/>
          <w:szCs w:val="44"/>
        </w:rPr>
      </w:pPr>
    </w:p>
    <w:p>
      <w:pPr>
        <w:spacing w:after="0" w:line="240" w:lineRule="auto"/>
        <w:jc w:val="center"/>
        <w:outlineLvl w:val="0"/>
        <w:rPr>
          <w:rFonts w:ascii="宋体" w:eastAsia="黑体"/>
          <w:sz w:val="44"/>
          <w:szCs w:val="44"/>
          <w:lang w:eastAsia="zh-CN"/>
        </w:rPr>
      </w:pPr>
      <w:r>
        <w:rPr>
          <w:rFonts w:ascii="宋体" w:eastAsia="黑体"/>
          <w:sz w:val="44"/>
          <w:szCs w:val="44"/>
          <w:lang w:eastAsia="zh-CN"/>
        </w:rPr>
        <w:t>中共乌鲁木齐市达坂城区委员会</w:t>
      </w:r>
    </w:p>
    <w:p>
      <w:pPr>
        <w:spacing w:after="0" w:line="240" w:lineRule="auto"/>
        <w:jc w:val="center"/>
        <w:outlineLvl w:val="0"/>
        <w:rPr>
          <w:rFonts w:hint="eastAsia" w:ascii="宋体" w:eastAsia="黑体"/>
          <w:sz w:val="44"/>
          <w:szCs w:val="44"/>
          <w:lang w:eastAsia="zh-CN"/>
        </w:rPr>
      </w:pPr>
      <w:r>
        <w:rPr>
          <w:rFonts w:ascii="宋体" w:eastAsia="黑体"/>
          <w:sz w:val="44"/>
          <w:szCs w:val="44"/>
          <w:lang w:eastAsia="zh-CN"/>
        </w:rPr>
        <w:t>统一战线工作部</w:t>
      </w:r>
      <w:bookmarkStart w:id="6" w:name="_GoBack"/>
      <w:bookmarkEnd w:id="6"/>
    </w:p>
    <w:p>
      <w:pPr>
        <w:spacing w:after="0" w:line="240" w:lineRule="auto"/>
        <w:jc w:val="center"/>
        <w:outlineLvl w:val="0"/>
        <w:rPr>
          <w:rFonts w:hint="eastAsia" w:ascii="黑体" w:eastAsia="黑体"/>
          <w:sz w:val="44"/>
          <w:szCs w:val="44"/>
          <w:lang w:eastAsia="zh-CN"/>
        </w:rPr>
      </w:pPr>
      <w:r>
        <w:rPr>
          <w:rFonts w:ascii="黑体" w:eastAsia="黑体"/>
          <w:sz w:val="44"/>
          <w:szCs w:val="44"/>
          <w:lang w:eastAsia="zh-CN"/>
        </w:rPr>
        <w:t>2024年度部门决算公开说明</w:t>
      </w:r>
    </w:p>
    <w:p>
      <w:pPr>
        <w:rPr>
          <w:rFonts w:hint="eastAsia"/>
          <w:lang w:eastAsia="zh-CN"/>
        </w:rPr>
      </w:pPr>
      <w:r>
        <w:rPr>
          <w:sz w:val="0"/>
          <w:szCs w:val="0"/>
          <w:lang w:eastAsia="zh-CN"/>
        </w:rPr>
        <w:br w:type="page"/>
      </w:r>
    </w:p>
    <w:p>
      <w:pPr>
        <w:spacing w:after="0" w:line="240" w:lineRule="auto"/>
        <w:jc w:val="center"/>
        <w:rPr>
          <w:rFonts w:hint="eastAsia" w:ascii="黑体" w:eastAsia="黑体"/>
          <w:sz w:val="32"/>
          <w:szCs w:val="32"/>
          <w:lang w:eastAsia="zh-CN"/>
        </w:rPr>
      </w:pPr>
      <w:r>
        <w:rPr>
          <w:rFonts w:ascii="黑体" w:eastAsia="黑体"/>
          <w:b/>
          <w:sz w:val="32"/>
          <w:szCs w:val="32"/>
          <w:lang w:eastAsia="zh-CN"/>
        </w:rPr>
        <w:t>目  录</w:t>
      </w:r>
    </w:p>
    <w:p>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第一部分单位概况</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一、主要职能</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二、机构设置及人员情况</w:t>
      </w:r>
    </w:p>
    <w:p>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第二部分 部门决算情况说明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一、收入支出决算总体情况说明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四、财政拨款收入支出决算总体情况说明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（一）一般公共预算财政拨款支出决算总体情况</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（二）一般公共预算财政拨款支出决算结构情况</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（三）一般公共预算财政拨款支出决算具体情况</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​十、其他重要事项的情况说明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（一）机关运行经费及公用经费支出情况</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（二）政府采购情况</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（三）国有资产占用情况说明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十一、预算绩效的情况说明</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十二、其他需说明的事项</w:t>
      </w:r>
    </w:p>
    <w:p>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第三部分 专业名词解释</w:t>
      </w:r>
    </w:p>
    <w:p>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第四部分 部门决算报表（见附表）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p>
      <w:pPr>
        <w:rPr>
          <w:rFonts w:hint="eastAsia"/>
          <w:lang w:eastAsia="zh-CN"/>
        </w:rPr>
      </w:pPr>
      <w:r>
        <w:rPr>
          <w:sz w:val="0"/>
          <w:szCs w:val="0"/>
          <w:lang w:eastAsia="zh-CN"/>
        </w:rPr>
        <w:br w:type="page"/>
      </w:r>
    </w:p>
    <w:p>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第一部分 单位概况</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 一、主要职能</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落实主体责任，旗帜鲜明加强党对统战、民族宗教工作的全面领导；强化政治引领，凝聚思想共识，不断提升统战工作效能；有形有感有效铸牢中华民族共同体意识；坚持我国宗教中国化方向，促进宗教健康发展；凝聚侨心，持续做好海外统战和侨务工作；扎实做好</w:t>
      </w:r>
      <w:r>
        <w:rPr>
          <w:rFonts w:hint="eastAsia" w:ascii="仿宋_GB2312" w:eastAsia="仿宋_GB2312"/>
          <w:sz w:val="32"/>
          <w:szCs w:val="32"/>
          <w:lang w:eastAsia="zh-CN"/>
        </w:rPr>
        <w:t>新的社会阶层人士</w:t>
      </w:r>
      <w:r>
        <w:rPr>
          <w:rFonts w:ascii="仿宋_GB2312" w:eastAsia="仿宋_GB2312"/>
          <w:sz w:val="32"/>
          <w:szCs w:val="32"/>
          <w:lang w:eastAsia="zh-CN"/>
        </w:rPr>
        <w:t>统战工作；持续做好非公有制经济工作；持续抓实统战干部队伍自身建设。</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二、机构设置及人员情况</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中共乌鲁木齐市达坂城区委员会统一战线工作部2024年度，实有人数14人，其中：在职人员12人，增加4人；离休人员0人，较上年无变化；退休人员2人，增加1人。</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中共乌鲁木齐市达坂城区委员会统一战线工作部无下属预算单位，下设</w:t>
      </w:r>
      <w:r>
        <w:rPr>
          <w:rFonts w:hint="eastAsia" w:ascii="仿宋_GB2312" w:eastAsia="仿宋_GB2312"/>
          <w:sz w:val="32"/>
          <w:szCs w:val="32"/>
          <w:lang w:eastAsia="zh-CN"/>
        </w:rPr>
        <w:t>1</w:t>
      </w:r>
      <w:r>
        <w:rPr>
          <w:rFonts w:ascii="仿宋_GB2312" w:eastAsia="仿宋_GB2312"/>
          <w:sz w:val="32"/>
          <w:szCs w:val="32"/>
          <w:lang w:eastAsia="zh-CN"/>
        </w:rPr>
        <w:t>个科室，分别是：</w:t>
      </w:r>
      <w:r>
        <w:rPr>
          <w:rFonts w:hint="eastAsia" w:ascii="仿宋_GB2312" w:eastAsia="仿宋_GB2312"/>
          <w:sz w:val="32"/>
          <w:szCs w:val="32"/>
          <w:lang w:eastAsia="zh-CN"/>
        </w:rPr>
        <w:t>办公室</w:t>
      </w:r>
      <w:r>
        <w:rPr>
          <w:rFonts w:ascii="仿宋_GB2312" w:eastAsia="仿宋_GB2312"/>
          <w:sz w:val="32"/>
          <w:szCs w:val="32"/>
          <w:lang w:eastAsia="zh-CN"/>
        </w:rPr>
        <w:t>。</w:t>
      </w:r>
    </w:p>
    <w:p>
      <w:pPr>
        <w:rPr>
          <w:rFonts w:hint="eastAsia"/>
          <w:lang w:eastAsia="zh-CN"/>
        </w:rPr>
      </w:pPr>
      <w:r>
        <w:rPr>
          <w:sz w:val="0"/>
          <w:szCs w:val="0"/>
          <w:lang w:eastAsia="zh-CN"/>
        </w:rPr>
        <w:br w:type="page"/>
      </w:r>
    </w:p>
    <w:p>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第二部分 部门决算情况说明</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一、收入支出决算总体情况说明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2024年度收入总计359.51万元，其中：本年收入合计353.83万元，使用非财政拨款结余（含专用结余）0.00万元，年初结转和结余5.67万元。</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2024年度支出总计359.51万元，其中：本年支出合计354.82万元，结余分配0.00万元，年末结转和结余4.68万元。</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收入支出总体与上年相比，增加96.09万元，增长36.48%，主要原因是：区民宗局合并至区统战部，单位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人员工资、住房公积金、社保及津补贴等人员经费较上年增加</w:t>
      </w:r>
      <w:r>
        <w:rPr>
          <w:rFonts w:ascii="仿宋_GB2312" w:eastAsia="仿宋_GB2312"/>
          <w:sz w:val="32"/>
          <w:szCs w:val="32"/>
          <w:lang w:eastAsia="zh-CN"/>
        </w:rPr>
        <w:t>。</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二、收入决算情况说明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本年收入353.83万元，其中：财政拨款收入353.83万元,占100.00%；上级补助收入0.00万元,占0.00%；事业收入0.00万元，占0.00%；经营收入0.00万元,占0.00%；附属单位上缴收入0.00万元，占0.00%；其他收入0.01万元，占0.00%。</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三、支出决算情况说明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本年支出354.82万元，其中：基本支出197.46万元，占55.65%；项目支出157.36万元，占44.35%；上缴上级支出0.00万元，占0.00%；经营支出0.00万元，占0.00%；对附属单位补助支出0.00万元，占0.00%。</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四、财政拨款收入支出决算总体情况说明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2024年度财政拨款收入总计353.83万元，其中：年初财政拨款结转和结余0.00万元，本年财政拨款收入353.83万元。财政拨款支出总计353.83万元，其中：年末财政拨款结转和结余0.00万元，本年财政拨款支出353.83万元。</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财政拨款收入支出总体与上年相比，增加101.74万元，增长40.36%，主要原因是：区民宗局合并至区统战部，单位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人员工资、住房公积金、社保及津补贴等人员经费较上年增加</w:t>
      </w:r>
      <w:r>
        <w:rPr>
          <w:rFonts w:ascii="仿宋_GB2312" w:eastAsia="仿宋_GB2312"/>
          <w:sz w:val="32"/>
          <w:szCs w:val="32"/>
          <w:lang w:eastAsia="zh-CN"/>
        </w:rPr>
        <w:t>。与年初预算相比，年初预算数194.24万元，决算数353.83万元，预决算差异率82.16%，主要原因是：区民宗局合并至区统战部，单位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年中追加人员工资、津补贴等人员经费</w:t>
      </w:r>
      <w:r>
        <w:rPr>
          <w:rFonts w:ascii="仿宋_GB2312" w:eastAsia="仿宋_GB2312"/>
          <w:sz w:val="32"/>
          <w:szCs w:val="32"/>
          <w:lang w:eastAsia="zh-CN"/>
        </w:rPr>
        <w:t>。</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五、一般公共预算财政拨款支出决算情况说明</w:t>
      </w:r>
    </w:p>
    <w:p>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（一）一般公共预算财政拨款支出决算总体情况</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2024年度一般公共预算财政拨款支出353.83万元，占本年支出合计的99.72%。与上年相比，增加102.17万元，增长40.60%，主要原因是：区民宗局合并至区统战部，单位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人员工资、住房公积金、社保及津补贴等人员经费较上年增加</w:t>
      </w:r>
      <w:r>
        <w:rPr>
          <w:rFonts w:ascii="仿宋_GB2312" w:eastAsia="仿宋_GB2312"/>
          <w:sz w:val="32"/>
          <w:szCs w:val="32"/>
          <w:lang w:eastAsia="zh-CN"/>
        </w:rPr>
        <w:t>。与年初预算相比，年初预算数194.24万元，决算数353.83万元，预决算差异率82.16%，主要原因是：区民宗局合并至区统战部，单位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年中追加人员工资、津补贴等人员经费</w:t>
      </w:r>
      <w:r>
        <w:rPr>
          <w:rFonts w:ascii="仿宋_GB2312" w:eastAsia="仿宋_GB2312"/>
          <w:sz w:val="32"/>
          <w:szCs w:val="32"/>
          <w:lang w:eastAsia="zh-CN"/>
        </w:rPr>
        <w:t>。</w:t>
      </w:r>
    </w:p>
    <w:p>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（二）一般公共预算财政拨款支出决算结构情况</w:t>
      </w:r>
    </w:p>
    <w:p>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一般公共服务支出（类）334.83万元，占94.63%。</w:t>
      </w:r>
    </w:p>
    <w:p>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社会保障和就业支出（类）18.99万元，占5.37%。</w:t>
      </w:r>
    </w:p>
    <w:p>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（三）一般公共预算财政拨款支出决算具体情况</w:t>
      </w:r>
    </w:p>
    <w:p>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1、一般公共服务支出（类）统战事务（款）行政运行（项）：支出决算数为52.61万元，比上年决算增加8.94万元，增长20.47%，主要原因是：区民宗局合并至区统战部，单位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人员工资、住房公积金、津补贴等人员经费较上年增加</w:t>
      </w:r>
      <w:r>
        <w:rPr>
          <w:rFonts w:ascii="仿宋_GB2312" w:eastAsia="仿宋_GB2312"/>
          <w:sz w:val="32"/>
          <w:szCs w:val="32"/>
          <w:lang w:eastAsia="zh-CN"/>
        </w:rPr>
        <w:t>。</w:t>
      </w:r>
    </w:p>
    <w:p>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2、一般公共服务支出（类）统战事务（款）一般行政管理事务（项）：支出决算数为0.00万元，比上年决算减少97.35万元，下降100.00%，主要原因是：</w:t>
      </w:r>
      <w:r>
        <w:rPr>
          <w:rFonts w:hint="eastAsia" w:ascii="仿宋_GB2312" w:eastAsia="仿宋_GB2312"/>
          <w:sz w:val="32"/>
          <w:szCs w:val="32"/>
          <w:lang w:eastAsia="zh-CN"/>
        </w:rPr>
        <w:t>本年我单位未安排</w:t>
      </w:r>
      <w:r>
        <w:rPr>
          <w:rFonts w:ascii="仿宋_GB2312" w:eastAsia="仿宋_GB2312"/>
          <w:sz w:val="32"/>
          <w:szCs w:val="32"/>
          <w:lang w:eastAsia="zh-CN"/>
        </w:rPr>
        <w:t>达坂城区爱国宗教人士工资。</w:t>
      </w:r>
    </w:p>
    <w:p>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3、一般公共服务支出（类）统战事务（款）事业运行（项）：支出决算数为125.86万元，比上年决算增加38.47万元，增长44.02%，主要原因是：区民宗局合并至区统战部，单位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人员工资、住房公积金、津补贴等人员经费较上年增加</w:t>
      </w:r>
      <w:r>
        <w:rPr>
          <w:rFonts w:ascii="仿宋_GB2312" w:eastAsia="仿宋_GB2312"/>
          <w:sz w:val="32"/>
          <w:szCs w:val="32"/>
          <w:lang w:eastAsia="zh-CN"/>
        </w:rPr>
        <w:t>。</w:t>
      </w:r>
    </w:p>
    <w:p>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4、一般公共服务支出（类）统战事务（款）其他统战事务支出（项）：支出决算数为156.36万元，比上年决算增加143.96万元，增长1,160.97%，主要原因是：</w:t>
      </w:r>
      <w:r>
        <w:rPr>
          <w:rFonts w:hint="eastAsia" w:ascii="仿宋_GB2312" w:eastAsia="仿宋_GB2312"/>
          <w:sz w:val="32"/>
          <w:szCs w:val="32"/>
          <w:lang w:eastAsia="zh-CN"/>
        </w:rPr>
        <w:t>本年增加</w:t>
      </w:r>
      <w:r>
        <w:rPr>
          <w:rFonts w:ascii="仿宋_GB2312" w:eastAsia="仿宋_GB2312"/>
          <w:sz w:val="32"/>
          <w:szCs w:val="32"/>
          <w:lang w:eastAsia="zh-CN"/>
        </w:rPr>
        <w:t>达坂城区爱国宗教人士生活补贴</w:t>
      </w:r>
      <w:r>
        <w:rPr>
          <w:rFonts w:hint="eastAsia" w:ascii="仿宋_GB2312" w:eastAsia="仿宋_GB2312"/>
          <w:sz w:val="32"/>
          <w:szCs w:val="32"/>
          <w:lang w:eastAsia="zh-CN"/>
        </w:rPr>
        <w:t>经费</w:t>
      </w:r>
      <w:r>
        <w:rPr>
          <w:rFonts w:ascii="仿宋_GB2312" w:eastAsia="仿宋_GB2312"/>
          <w:sz w:val="32"/>
          <w:szCs w:val="32"/>
          <w:lang w:eastAsia="zh-CN"/>
        </w:rPr>
        <w:t>。</w:t>
      </w:r>
    </w:p>
    <w:p>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社会保障和就业支出（类）行政事业单位养老支出（款）机关事业单位基本养老保险缴费支出（项）：支出决算数为18.99万元，比上年决算增加8.17万元，增长75.51%，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w:t>
      </w:r>
      <w:r>
        <w:rPr>
          <w:rFonts w:ascii="仿宋_GB2312" w:eastAsia="仿宋_GB2312"/>
          <w:sz w:val="32"/>
          <w:szCs w:val="32"/>
          <w:lang w:eastAsia="zh-CN"/>
        </w:rPr>
        <w:t>养老保险缴费</w:t>
      </w:r>
      <w:r>
        <w:rPr>
          <w:rFonts w:hint="eastAsia" w:ascii="仿宋_GB2312" w:eastAsia="仿宋_GB2312"/>
          <w:sz w:val="32"/>
          <w:szCs w:val="32"/>
          <w:lang w:eastAsia="zh-CN"/>
        </w:rPr>
        <w:t>增加</w:t>
      </w:r>
      <w:r>
        <w:rPr>
          <w:rFonts w:ascii="仿宋_GB2312" w:eastAsia="仿宋_GB2312"/>
          <w:sz w:val="32"/>
          <w:szCs w:val="32"/>
          <w:lang w:eastAsia="zh-CN"/>
        </w:rPr>
        <w:t>。</w:t>
      </w:r>
    </w:p>
    <w:p>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6、其他支出（类）其他支出（款）其他支出（项）：支出决算数为0.00万元，比上年决算减少0.03万元，下降100.00%，主要原因是：</w:t>
      </w:r>
      <w:r>
        <w:rPr>
          <w:rFonts w:hint="eastAsia" w:ascii="仿宋_GB2312" w:eastAsia="仿宋_GB2312"/>
          <w:sz w:val="32"/>
          <w:szCs w:val="32"/>
          <w:lang w:eastAsia="zh-CN"/>
        </w:rPr>
        <w:t>本年单位未安排为民办实事业务经费</w:t>
      </w:r>
      <w:r>
        <w:rPr>
          <w:rFonts w:ascii="仿宋_GB2312" w:eastAsia="仿宋_GB2312"/>
          <w:sz w:val="32"/>
          <w:szCs w:val="32"/>
          <w:lang w:eastAsia="zh-CN"/>
        </w:rPr>
        <w:t>。</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六、一般公共预算财政拨款基本支出决算情况说明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基本支出197.46万元，其中：人员经费189.63万元，包括：基本工资、津贴补贴、奖金、绩效工资、机关事业单位基本养老保险缴费、职工基本医疗保险缴费、公务员医疗补助缴费、其他社会保障缴费、住房公积金、退休费和奖励金。</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公用经费7.84万元，包括：办公费、邮电费、差旅费、工会经费、福利费和其他交通费用。</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七、政府性基金预算财政拨款收入支出决算情况说明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八、国有资本经营预算财政拨款收入支出决算情况说明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九、财政拨款“三公”经费支出决算情况说明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bookmarkStart w:id="0" w:name="_Hlk207143847"/>
      <w:r>
        <w:rPr>
          <w:rFonts w:hint="eastAsia" w:ascii="仿宋_GB2312" w:eastAsia="仿宋_GB2312"/>
          <w:sz w:val="32"/>
          <w:szCs w:val="32"/>
          <w:lang w:eastAsia="zh-CN"/>
        </w:rPr>
        <w:t>我单位上年度与本年度均无此项经费</w:t>
      </w:r>
      <w:bookmarkEnd w:id="0"/>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具体情况如下：</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因公出国（境）费支出0.00万元，开支内容包括</w:t>
      </w:r>
      <w:bookmarkStart w:id="1" w:name="_Hlk207143872"/>
      <w:r>
        <w:rPr>
          <w:rFonts w:hint="eastAsia" w:ascii="仿宋_GB2312" w:eastAsia="仿宋_GB2312"/>
          <w:sz w:val="32"/>
          <w:szCs w:val="32"/>
          <w:lang w:eastAsia="zh-CN"/>
        </w:rPr>
        <w:t>单位本年无</w:t>
      </w:r>
      <w:r>
        <w:rPr>
          <w:rFonts w:ascii="仿宋_GB2312" w:eastAsia="仿宋_GB2312"/>
          <w:sz w:val="32"/>
          <w:szCs w:val="32"/>
          <w:lang w:eastAsia="zh-CN"/>
        </w:rPr>
        <w:t>因公出国（境）费</w:t>
      </w:r>
      <w:bookmarkEnd w:id="1"/>
      <w:r>
        <w:rPr>
          <w:rFonts w:ascii="仿宋_GB2312" w:eastAsia="仿宋_GB2312"/>
          <w:sz w:val="32"/>
          <w:szCs w:val="32"/>
          <w:lang w:eastAsia="zh-CN"/>
        </w:rPr>
        <w:t>。单位全年安排的因公出国（境）团组0个，因公出国（境）0人次。</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bookmarkStart w:id="2" w:name="_Hlk207140356"/>
      <w:r>
        <w:rPr>
          <w:rFonts w:hint="eastAsia" w:ascii="仿宋_GB2312" w:eastAsia="仿宋_GB2312"/>
          <w:sz w:val="32"/>
          <w:szCs w:val="32"/>
          <w:lang w:eastAsia="zh-CN"/>
        </w:rPr>
        <w:t>单位本年无</w:t>
      </w:r>
      <w:r>
        <w:rPr>
          <w:rFonts w:ascii="仿宋_GB2312" w:eastAsia="仿宋_GB2312"/>
          <w:sz w:val="32"/>
          <w:szCs w:val="32"/>
          <w:lang w:eastAsia="zh-CN"/>
        </w:rPr>
        <w:t>公务用车运行维护费</w:t>
      </w:r>
      <w:bookmarkEnd w:id="2"/>
      <w:r>
        <w:rPr>
          <w:rFonts w:ascii="仿宋_GB2312" w:eastAsia="仿宋_GB2312"/>
          <w:sz w:val="32"/>
          <w:szCs w:val="32"/>
          <w:lang w:eastAsia="zh-CN"/>
        </w:rPr>
        <w:t>。公务用车购置数0辆，公务用车保有量0辆。国有资产占用情况中固定资产车辆1辆，与公务用车保有量差异原因是：本单位</w:t>
      </w:r>
      <w:r>
        <w:rPr>
          <w:rFonts w:hint="eastAsia" w:ascii="仿宋_GB2312" w:eastAsia="仿宋_GB2312"/>
          <w:sz w:val="32"/>
          <w:szCs w:val="32"/>
          <w:lang w:eastAsia="zh-CN"/>
        </w:rPr>
        <w:t>车辆由机关事务中心统一管理</w:t>
      </w:r>
      <w:r>
        <w:rPr>
          <w:rFonts w:ascii="仿宋_GB2312" w:eastAsia="仿宋_GB2312"/>
          <w:sz w:val="32"/>
          <w:szCs w:val="32"/>
          <w:lang w:eastAsia="zh-CN"/>
        </w:rPr>
        <w:t>。</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公务接待费0.00万元，开支内容包括</w:t>
      </w:r>
      <w:bookmarkStart w:id="3" w:name="_Hlk207140433"/>
      <w:r>
        <w:rPr>
          <w:rFonts w:hint="eastAsia" w:ascii="仿宋_GB2312" w:eastAsia="仿宋_GB2312"/>
          <w:sz w:val="32"/>
          <w:szCs w:val="32"/>
          <w:lang w:eastAsia="zh-CN"/>
        </w:rPr>
        <w:t>单位本年无</w:t>
      </w:r>
      <w:r>
        <w:rPr>
          <w:rFonts w:ascii="仿宋_GB2312" w:eastAsia="仿宋_GB2312"/>
          <w:sz w:val="32"/>
          <w:szCs w:val="32"/>
          <w:lang w:eastAsia="zh-CN"/>
        </w:rPr>
        <w:t>公务接待费</w:t>
      </w:r>
      <w:bookmarkEnd w:id="3"/>
      <w:r>
        <w:rPr>
          <w:rFonts w:ascii="仿宋_GB2312" w:eastAsia="仿宋_GB2312"/>
          <w:sz w:val="32"/>
          <w:szCs w:val="32"/>
          <w:lang w:eastAsia="zh-CN"/>
        </w:rPr>
        <w:t>。单位全年安排的国内公务接待0批次，0人次。</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bookmarkStart w:id="4" w:name="_Hlk207142995"/>
      <w:r>
        <w:rPr>
          <w:rFonts w:hint="eastAsia" w:ascii="仿宋_GB2312" w:eastAsia="仿宋_GB2312"/>
          <w:sz w:val="32"/>
          <w:szCs w:val="32"/>
          <w:lang w:eastAsia="zh-CN"/>
        </w:rPr>
        <w:t>严格按照预算执行，预决算对比无差异</w:t>
      </w:r>
      <w:bookmarkEnd w:id="4"/>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十、其他重要事项的情况说明</w:t>
      </w:r>
    </w:p>
    <w:p>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（一）机关运行经费及公用经费支出情况</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2024年度中共乌鲁木齐市达坂城区委员会统一战线工作部单位（行政单位和参照公务员法管理事业单位）机关运行经费支出7.84万元，比上年增加0.42万元，增长5.66%，主要原因是：</w:t>
      </w:r>
      <w:r>
        <w:rPr>
          <w:rFonts w:hint="eastAsia" w:ascii="仿宋_GB2312" w:eastAsia="仿宋_GB2312"/>
          <w:sz w:val="32"/>
          <w:szCs w:val="32"/>
          <w:lang w:eastAsia="zh-CN"/>
        </w:rPr>
        <w:t>本年单位办公经费、邮电费等较上年增加</w:t>
      </w:r>
      <w:r>
        <w:rPr>
          <w:rFonts w:ascii="仿宋_GB2312" w:eastAsia="仿宋_GB2312"/>
          <w:sz w:val="32"/>
          <w:szCs w:val="32"/>
          <w:lang w:eastAsia="zh-CN"/>
        </w:rPr>
        <w:t>。</w:t>
      </w:r>
    </w:p>
    <w:p>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（二）政府采购情况</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2024年度政府采购支出总额0.13万元，其中：政府采购货物支出0.13万元、政府采购工程支出0.00万元、政府采购服务支出0.00万元。</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授予中小企业合同金额0.13万元，占政府采购支出总额的100.00%，其中：授予小微企业合同金额0.13万元，占政府采购支出总额的100.00%。</w:t>
      </w:r>
    </w:p>
    <w:p>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（三）国有资产占用情况说明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1辆，价值12.40万元，其中：副部（省）级及以上领导用车0辆、主要负责人用车0辆、机要通信用车0辆、应急保障用车0辆、执法执勤用车0辆、特种专业技术用车0辆、离退休干部服务用车0辆、其他用车1辆，其他用车主要是：单位</w:t>
      </w:r>
      <w:r>
        <w:rPr>
          <w:rFonts w:hint="eastAsia" w:ascii="仿宋_GB2312" w:eastAsia="仿宋_GB2312"/>
          <w:sz w:val="32"/>
          <w:szCs w:val="32"/>
          <w:lang w:eastAsia="zh-CN"/>
        </w:rPr>
        <w:t>业务用车</w:t>
      </w:r>
      <w:r>
        <w:rPr>
          <w:rFonts w:ascii="仿宋_GB2312" w:eastAsia="仿宋_GB2312"/>
          <w:sz w:val="32"/>
          <w:szCs w:val="32"/>
          <w:lang w:eastAsia="zh-CN"/>
        </w:rPr>
        <w:t>;单价100万元（含）以上设备（不含车辆）0台（套）。</w:t>
      </w: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十一、预算绩效的情况说明</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359.51万元，实际执行总额354.82万元；预算绩效评价项目0个，全年预算数0.00万元，全年执行数0.00万元。预算绩效管理取得的成效：一是绩效“双监控”，预算执行过程中，以年度支出计划为基础，定期分析预算执行和绩效目标落实情况，并依托财政预算绩效管理平台分5月、8月对预算执行动态进行实时监控，发现问题及时纠偏，确保绩效目标落地落实；二是注重绩效目标编制，预算编制环节注重编细编实预算需求，科学选择绩效指标，合理设置绩效目标值，并严格按照财政统一要求，规范编制事前绩效报告，为财政资金发挥效益夯实基础。发现的问题及原因：一是我单位部分绩效指标设置存在不够精简、指标数据无法统计和指标值设置过低等问题；二是指标设置的科学性、合理性有待进一步提高。下一步改进措施：一是出台绩效管理制度，对绩效管理的目的、意义、性质和特点，以及组织实施绩效管理的程序、步骤、方法、原则和要求进行统一的规定</w:t>
      </w:r>
      <w:r>
        <w:rPr>
          <w:rFonts w:hint="eastAsia" w:ascii="仿宋_GB2312" w:eastAsia="仿宋_GB2312"/>
          <w:sz w:val="32"/>
          <w:szCs w:val="32"/>
          <w:lang w:eastAsia="zh-CN"/>
        </w:rPr>
        <w:t>；</w:t>
      </w:r>
      <w:r>
        <w:rPr>
          <w:rFonts w:ascii="仿宋_GB2312" w:eastAsia="仿宋_GB2312"/>
          <w:sz w:val="32"/>
          <w:szCs w:val="32"/>
          <w:lang w:eastAsia="zh-CN"/>
        </w:rPr>
        <w:t>二是合理设置年度任务。提高各处室对部门中长期规划的重视程度，增强相关规划的落地性、导向性。探索符合部门工作特点的评价指标体系。在设定绩效目标时选取相关性强的量化指标，并注重选取符合实际工作情况的指标值。具体附部门整体支出绩效自评表。</w:t>
      </w:r>
    </w:p>
    <w:p>
      <w:pPr>
        <w:rPr>
          <w:rFonts w:hint="eastAsia" w:ascii="宋体" w:hAnsi="宋体" w:eastAsia="宋体" w:cs="宋体"/>
          <w:b/>
          <w:bCs/>
          <w:sz w:val="18"/>
          <w:szCs w:val="18"/>
          <w:lang w:eastAsia="zh-CN"/>
        </w:rPr>
      </w:pPr>
      <w:bookmarkStart w:id="5" w:name="_Hlk174962300"/>
    </w:p>
    <w:p>
      <w:pPr>
        <w:jc w:val="center"/>
        <w:rPr>
          <w:rFonts w:hint="eastAsia" w:ascii="宋体" w:hAnsi="宋体" w:eastAsia="宋体" w:cs="宋体"/>
          <w:b/>
          <w:bCs/>
          <w:sz w:val="28"/>
          <w:szCs w:val="28"/>
          <w:lang w:eastAsia="zh-CN"/>
        </w:rPr>
      </w:pPr>
      <w:r>
        <w:rPr>
          <w:rFonts w:hint="eastAsia" w:ascii="宋体" w:hAnsi="宋体" w:eastAsia="宋体" w:cs="宋体"/>
          <w:b/>
          <w:bCs/>
          <w:sz w:val="18"/>
          <w:szCs w:val="18"/>
          <w:lang w:eastAsia="zh-CN"/>
        </w:rPr>
        <w:br w:type="page"/>
      </w:r>
      <w:r>
        <w:rPr>
          <w:rFonts w:hint="eastAsia" w:ascii="宋体" w:hAnsi="宋体" w:eastAsia="宋体" w:cs="宋体"/>
          <w:b/>
          <w:bCs/>
          <w:sz w:val="28"/>
          <w:szCs w:val="28"/>
          <w:lang w:eastAsia="zh-CN"/>
        </w:rPr>
        <w:t>部门（单位）整体支出绩效目标自评表</w:t>
      </w:r>
    </w:p>
    <w:p>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935" w:type="dxa"/>
        <w:tblInd w:w="-601" w:type="dxa"/>
        <w:tblLayout w:type="fixed"/>
        <w:tblCellMar>
          <w:top w:w="0" w:type="dxa"/>
          <w:left w:w="108" w:type="dxa"/>
          <w:bottom w:w="0" w:type="dxa"/>
          <w:right w:w="108" w:type="dxa"/>
        </w:tblCellMar>
      </w:tblPr>
      <w:tblGrid>
        <w:gridCol w:w="993"/>
        <w:gridCol w:w="1417"/>
        <w:gridCol w:w="1418"/>
        <w:gridCol w:w="1276"/>
        <w:gridCol w:w="1701"/>
        <w:gridCol w:w="1134"/>
        <w:gridCol w:w="992"/>
        <w:gridCol w:w="720"/>
        <w:gridCol w:w="284"/>
      </w:tblGrid>
      <w:tr>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中共乌鲁木齐市达坂城区委员会统一战线工作部</w:t>
            </w:r>
          </w:p>
        </w:tc>
        <w:tc>
          <w:tcPr>
            <w:tcW w:w="284" w:type="dxa"/>
            <w:tcBorders>
              <w:top w:val="nil"/>
              <w:left w:val="nil"/>
              <w:bottom w:val="nil"/>
              <w:right w:val="nil"/>
            </w:tcBorders>
            <w:noWrap/>
            <w:vAlign w:val="center"/>
          </w:tcPr>
          <w:p>
            <w:pPr>
              <w:rPr>
                <w:rFonts w:hint="eastAsia" w:ascii="宋体" w:hAnsi="宋体" w:eastAsia="宋体" w:cs="宋体"/>
                <w:b/>
                <w:bCs/>
                <w:sz w:val="18"/>
                <w:szCs w:val="18"/>
                <w:lang w:eastAsia="zh-CN"/>
              </w:rPr>
            </w:pPr>
          </w:p>
        </w:tc>
      </w:tr>
      <w:tr>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76"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pPr>
              <w:jc w:val="center"/>
              <w:rPr>
                <w:rFonts w:hint="eastAsia" w:ascii="宋体" w:hAnsi="宋体" w:eastAsia="宋体" w:cs="宋体"/>
                <w:b/>
                <w:bCs/>
                <w:sz w:val="18"/>
                <w:szCs w:val="18"/>
              </w:rPr>
            </w:pPr>
          </w:p>
        </w:tc>
      </w:tr>
      <w:tr>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194.24</w:t>
            </w:r>
          </w:p>
        </w:tc>
        <w:tc>
          <w:tcPr>
            <w:tcW w:w="1276"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359.51</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354.82</w:t>
            </w:r>
          </w:p>
        </w:tc>
        <w:tc>
          <w:tcPr>
            <w:tcW w:w="1134"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98.7%</w:t>
            </w:r>
          </w:p>
        </w:tc>
        <w:tc>
          <w:tcPr>
            <w:tcW w:w="7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9.87</w:t>
            </w:r>
          </w:p>
        </w:tc>
        <w:tc>
          <w:tcPr>
            <w:tcW w:w="284" w:type="dxa"/>
            <w:tcBorders>
              <w:top w:val="nil"/>
              <w:left w:val="nil"/>
              <w:bottom w:val="nil"/>
              <w:right w:val="nil"/>
            </w:tcBorders>
            <w:noWrap/>
            <w:vAlign w:val="center"/>
          </w:tcPr>
          <w:p>
            <w:pPr>
              <w:jc w:val="center"/>
              <w:rPr>
                <w:rFonts w:hint="eastAsia" w:ascii="宋体" w:hAnsi="宋体" w:eastAsia="宋体" w:cs="宋体"/>
                <w:b/>
                <w:bCs/>
                <w:sz w:val="18"/>
                <w:szCs w:val="18"/>
              </w:rPr>
            </w:pPr>
          </w:p>
        </w:tc>
      </w:tr>
      <w:tr>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194.24</w:t>
            </w:r>
          </w:p>
        </w:tc>
        <w:tc>
          <w:tcPr>
            <w:tcW w:w="1276"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359.51</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354.82</w:t>
            </w:r>
          </w:p>
        </w:tc>
        <w:tc>
          <w:tcPr>
            <w:tcW w:w="1134"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284" w:type="dxa"/>
            <w:tcBorders>
              <w:top w:val="nil"/>
              <w:left w:val="nil"/>
              <w:bottom w:val="nil"/>
              <w:right w:val="nil"/>
            </w:tcBorders>
            <w:noWrap/>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111" w:type="dxa"/>
            <w:gridSpan w:val="3"/>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547"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84" w:type="dxa"/>
            <w:tcBorders>
              <w:top w:val="nil"/>
              <w:left w:val="nil"/>
              <w:bottom w:val="nil"/>
              <w:right w:val="nil"/>
            </w:tcBorders>
            <w:noWrap/>
            <w:vAlign w:val="center"/>
          </w:tcPr>
          <w:p>
            <w:pPr>
              <w:rPr>
                <w:rFonts w:hint="eastAsia" w:ascii="宋体" w:hAnsi="宋体" w:eastAsia="宋体" w:cs="宋体"/>
                <w:b/>
                <w:bCs/>
                <w:sz w:val="18"/>
                <w:szCs w:val="18"/>
              </w:rPr>
            </w:pPr>
          </w:p>
        </w:tc>
      </w:tr>
      <w:tr>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p>
        </w:tc>
        <w:tc>
          <w:tcPr>
            <w:tcW w:w="4111" w:type="dxa"/>
            <w:gridSpan w:val="3"/>
            <w:tcBorders>
              <w:top w:val="single" w:color="auto" w:sz="4" w:space="0"/>
              <w:left w:val="nil"/>
              <w:bottom w:val="single" w:color="auto" w:sz="4" w:space="0"/>
              <w:right w:val="single" w:color="auto" w:sz="4" w:space="0"/>
            </w:tcBorders>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落实主体责任，旗帜鲜明加强党对统战、民族宗教工作的全面领导；强化政治引领，凝聚思想共识，不断提升统战工作效能；有形有感有效铸牢中华民族共同体意识；坚持我国宗教中国化方向，促进宗教健康发展；凝聚侨心，持续做好海外统战和侨务工作；扎实做好新的社会阶层人士统战工作；持续做好非公有制经济工作；持续抓实统战干部队伍自身建设。</w:t>
            </w:r>
          </w:p>
        </w:tc>
        <w:tc>
          <w:tcPr>
            <w:tcW w:w="4547" w:type="dxa"/>
            <w:gridSpan w:val="4"/>
            <w:tcBorders>
              <w:top w:val="single" w:color="auto" w:sz="4" w:space="0"/>
              <w:left w:val="nil"/>
              <w:bottom w:val="single" w:color="auto" w:sz="4" w:space="0"/>
              <w:right w:val="single" w:color="auto" w:sz="4" w:space="0"/>
            </w:tcBorders>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已完成落实主体责任，旗帜鲜明加强党对统战、民族宗教工作的全面领导；已强化政治引领，凝聚思想共识，不断提升统战工作效能；有形有感有效铸牢中华民族共同体意识；坚持我国宗教中国化方向，促进宗教健康发展；凝聚侨心，持续做好海外统战和侨务工作；扎实做好新的社会阶层人士统战工作；持续做好非公有制经济工作；持续抓实统战干部队伍自身建设。</w:t>
            </w:r>
          </w:p>
        </w:tc>
        <w:tc>
          <w:tcPr>
            <w:tcW w:w="284" w:type="dxa"/>
            <w:tcBorders>
              <w:top w:val="nil"/>
              <w:left w:val="nil"/>
              <w:bottom w:val="nil"/>
              <w:right w:val="nil"/>
            </w:tcBorders>
            <w:noWrap/>
            <w:vAlign w:val="center"/>
          </w:tcPr>
          <w:p>
            <w:pPr>
              <w:rPr>
                <w:rFonts w:hint="eastAsia" w:ascii="宋体" w:hAnsi="宋体" w:eastAsia="宋体" w:cs="宋体"/>
                <w:sz w:val="18"/>
                <w:szCs w:val="18"/>
                <w:lang w:eastAsia="zh-CN"/>
              </w:rPr>
            </w:pPr>
          </w:p>
        </w:tc>
      </w:tr>
      <w:tr>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76"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701"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pPr>
              <w:rPr>
                <w:rFonts w:hint="eastAsia" w:ascii="宋体" w:hAnsi="宋体" w:eastAsia="宋体" w:cs="宋体"/>
                <w:b/>
                <w:bCs/>
                <w:sz w:val="18"/>
                <w:szCs w:val="18"/>
              </w:rPr>
            </w:pPr>
          </w:p>
        </w:tc>
      </w:tr>
      <w:tr>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稳步推进新疆伊斯兰教中国化</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&gt;=1</w:t>
            </w:r>
          </w:p>
        </w:tc>
        <w:tc>
          <w:tcPr>
            <w:tcW w:w="1701" w:type="dxa"/>
            <w:tcBorders>
              <w:top w:val="nil"/>
              <w:left w:val="nil"/>
              <w:bottom w:val="single" w:color="auto" w:sz="4" w:space="0"/>
              <w:right w:val="single" w:color="auto" w:sz="4" w:space="0"/>
            </w:tcBorders>
            <w:noWrap/>
            <w:vAlign w:val="center"/>
          </w:tcPr>
          <w:p>
            <w:pPr>
              <w:rPr>
                <w:rFonts w:hint="eastAsia" w:ascii="宋体" w:hAnsi="宋体" w:eastAsia="宋体" w:cs="宋体"/>
                <w:sz w:val="18"/>
                <w:szCs w:val="18"/>
              </w:rPr>
            </w:pPr>
            <w:r>
              <w:rPr>
                <w:rFonts w:hint="eastAsia" w:ascii="宋体" w:hAnsi="宋体" w:eastAsia="宋体" w:cs="宋体"/>
                <w:sz w:val="18"/>
                <w:szCs w:val="18"/>
              </w:rPr>
              <w:t>2024年工作计划</w:t>
            </w:r>
          </w:p>
        </w:tc>
        <w:tc>
          <w:tcPr>
            <w:tcW w:w="113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ab/>
            </w:r>
            <w:r>
              <w:rPr>
                <w:rFonts w:hint="eastAsia" w:ascii="宋体" w:hAnsi="宋体" w:eastAsia="宋体" w:cs="宋体"/>
                <w:sz w:val="18"/>
                <w:szCs w:val="18"/>
              </w:rPr>
              <w:t>1</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有形有感有效铸牢中华民族共同体意识</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&gt;=1</w:t>
            </w:r>
          </w:p>
        </w:tc>
        <w:tc>
          <w:tcPr>
            <w:tcW w:w="1701" w:type="dxa"/>
            <w:tcBorders>
              <w:top w:val="nil"/>
              <w:left w:val="nil"/>
              <w:bottom w:val="single" w:color="auto" w:sz="4" w:space="0"/>
              <w:right w:val="single" w:color="auto" w:sz="4" w:space="0"/>
            </w:tcBorders>
            <w:noWrap/>
            <w:vAlign w:val="center"/>
          </w:tcPr>
          <w:p>
            <w:pPr>
              <w:rPr>
                <w:rFonts w:hint="eastAsia" w:ascii="宋体" w:hAnsi="宋体" w:eastAsia="宋体" w:cs="宋体"/>
                <w:sz w:val="18"/>
                <w:szCs w:val="18"/>
              </w:rPr>
            </w:pPr>
            <w:r>
              <w:rPr>
                <w:rFonts w:hint="eastAsia" w:ascii="宋体" w:hAnsi="宋体" w:eastAsia="宋体" w:cs="宋体"/>
                <w:sz w:val="18"/>
                <w:szCs w:val="18"/>
              </w:rPr>
              <w:t>2024年工作计划</w:t>
            </w:r>
          </w:p>
        </w:tc>
        <w:tc>
          <w:tcPr>
            <w:tcW w:w="1134"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ab/>
            </w:r>
            <w:r>
              <w:rPr>
                <w:rFonts w:hint="eastAsia" w:ascii="宋体" w:hAnsi="宋体" w:eastAsia="宋体" w:cs="宋体"/>
                <w:sz w:val="18"/>
                <w:szCs w:val="18"/>
              </w:rPr>
              <w:t>1</w:t>
            </w:r>
          </w:p>
        </w:tc>
        <w:tc>
          <w:tcPr>
            <w:tcW w:w="99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18"/>
                <w:szCs w:val="18"/>
              </w:rPr>
            </w:pPr>
          </w:p>
        </w:tc>
        <w:tc>
          <w:tcPr>
            <w:tcW w:w="14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418"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发放爱国宗教人士补贴及时率</w:t>
            </w:r>
          </w:p>
        </w:tc>
        <w:tc>
          <w:tcPr>
            <w:tcW w:w="127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1701" w:type="dxa"/>
            <w:tcBorders>
              <w:top w:val="single" w:color="auto" w:sz="4" w:space="0"/>
              <w:left w:val="nil"/>
              <w:bottom w:val="single" w:color="auto" w:sz="4" w:space="0"/>
              <w:right w:val="single" w:color="auto" w:sz="4" w:space="0"/>
            </w:tcBorders>
            <w:noWrap/>
            <w:vAlign w:val="center"/>
          </w:tcPr>
          <w:p>
            <w:pPr>
              <w:rPr>
                <w:rFonts w:hint="eastAsia" w:ascii="宋体" w:hAnsi="宋体" w:eastAsia="宋体" w:cs="宋体"/>
                <w:sz w:val="18"/>
                <w:szCs w:val="18"/>
              </w:rPr>
            </w:pPr>
            <w:r>
              <w:rPr>
                <w:rFonts w:hint="eastAsia" w:ascii="宋体" w:hAnsi="宋体" w:eastAsia="宋体" w:cs="宋体"/>
                <w:sz w:val="18"/>
                <w:szCs w:val="18"/>
              </w:rPr>
              <w:t>乌党统〔2021〕5号</w:t>
            </w:r>
          </w:p>
        </w:tc>
        <w:tc>
          <w:tcPr>
            <w:tcW w:w="1134"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99.87</w:t>
            </w:r>
          </w:p>
        </w:tc>
        <w:tc>
          <w:tcPr>
            <w:tcW w:w="284" w:type="dxa"/>
            <w:tcBorders>
              <w:top w:val="nil"/>
              <w:left w:val="nil"/>
              <w:bottom w:val="nil"/>
              <w:right w:val="nil"/>
            </w:tcBorders>
            <w:noWrap/>
            <w:vAlign w:val="center"/>
          </w:tcPr>
          <w:p>
            <w:pPr>
              <w:jc w:val="center"/>
              <w:rPr>
                <w:rFonts w:hint="eastAsia" w:ascii="宋体" w:hAnsi="宋体" w:eastAsia="宋体" w:cs="宋体"/>
                <w:sz w:val="18"/>
                <w:szCs w:val="18"/>
              </w:rPr>
            </w:pPr>
          </w:p>
        </w:tc>
      </w:tr>
      <w:bookmarkEnd w:id="5"/>
    </w:tbl>
    <w:p>
      <w:pPr>
        <w:jc w:val="center"/>
        <w:rPr>
          <w:rFonts w:hint="eastAsia" w:ascii="宋体" w:hAnsi="宋体" w:eastAsia="宋体" w:cs="宋体"/>
          <w:b/>
          <w:bCs/>
          <w:sz w:val="18"/>
          <w:szCs w:val="18"/>
        </w:rPr>
      </w:pPr>
    </w:p>
    <w:p>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十二、其他需说明的事项</w:t>
      </w:r>
    </w:p>
    <w:p>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本单位无其他需说明事项。</w:t>
      </w:r>
    </w:p>
    <w:p>
      <w:pPr>
        <w:spacing w:after="0" w:line="240" w:lineRule="auto"/>
        <w:ind w:firstLine="640" w:firstLineChars="200"/>
        <w:rPr>
          <w:rFonts w:hint="eastAsia" w:ascii="仿宋_GB2312" w:eastAsia="仿宋_GB2312"/>
          <w:sz w:val="32"/>
          <w:szCs w:val="32"/>
          <w:lang w:eastAsia="zh-CN"/>
        </w:rPr>
      </w:pPr>
    </w:p>
    <w:p>
      <w:pPr>
        <w:rPr>
          <w:rFonts w:hint="eastAsia"/>
          <w:lang w:eastAsia="zh-CN"/>
        </w:rPr>
      </w:pPr>
      <w:r>
        <w:rPr>
          <w:sz w:val="0"/>
          <w:szCs w:val="0"/>
          <w:lang w:eastAsia="zh-CN"/>
        </w:rPr>
        <w:br w:type="page"/>
      </w:r>
    </w:p>
    <w:p>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第三部分 专业名词解释</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pPr>
        <w:rPr>
          <w:rFonts w:hint="eastAsia"/>
          <w:lang w:eastAsia="zh-CN"/>
        </w:rPr>
      </w:pPr>
      <w:r>
        <w:rPr>
          <w:sz w:val="0"/>
          <w:szCs w:val="0"/>
          <w:lang w:eastAsia="zh-CN"/>
        </w:rPr>
        <w:br w:type="page"/>
      </w:r>
    </w:p>
    <w:p>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第四部分 部门决算报表（见附表）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一、《收入支出决算总表》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二、《收入决算表》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三、《支出决算表》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
  <w:rsids>
    <w:rsidRoot w:val="00E130E5"/>
    <w:rsid w:val="0019081C"/>
    <w:rsid w:val="001E15DA"/>
    <w:rsid w:val="003143C3"/>
    <w:rsid w:val="004E4F99"/>
    <w:rsid w:val="00B91AA7"/>
    <w:rsid w:val="00C91788"/>
    <w:rsid w:val="00DF6899"/>
    <w:rsid w:val="00E130E5"/>
    <w:rsid w:val="04B42069"/>
    <w:rsid w:val="052B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472C4" w:themeColor="accent1"/>
      <w:sz w:val="18"/>
      <w:szCs w:val="18"/>
    </w:rPr>
  </w:style>
  <w:style w:type="paragraph" w:styleId="8">
    <w:name w:val="footer"/>
    <w:basedOn w:val="1"/>
    <w:link w:val="24"/>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7"/>
    <w:unhideWhenUsed/>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472C4" w:themeColor="accent1"/>
      <w:spacing w:val="15"/>
      <w:sz w:val="24"/>
      <w:szCs w:val="24"/>
    </w:rPr>
  </w:style>
  <w:style w:type="paragraph" w:styleId="11">
    <w:name w:val="Title"/>
    <w:basedOn w:val="1"/>
    <w:next w:val="1"/>
    <w:link w:val="23"/>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table" w:styleId="13">
    <w:name w:val="Table Grid"/>
    <w:basedOn w:val="1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563C1" w:themeColor="hyperlink"/>
      <w:u w:val="single"/>
    </w:rPr>
  </w:style>
  <w:style w:type="character" w:customStyle="1" w:styleId="17">
    <w:name w:val="页眉 字符"/>
    <w:basedOn w:val="14"/>
    <w:link w:val="9"/>
    <w:uiPriority w:val="99"/>
  </w:style>
  <w:style w:type="character" w:customStyle="1" w:styleId="18">
    <w:name w:val="标题 1 字符"/>
    <w:basedOn w:val="14"/>
    <w:link w:val="2"/>
    <w:uiPriority w:val="9"/>
    <w:rPr>
      <w:rFonts w:asciiTheme="majorHAnsi" w:hAnsiTheme="majorHAnsi" w:eastAsiaTheme="majorEastAsia" w:cstheme="majorBidi"/>
      <w:b/>
      <w:bCs/>
      <w:color w:val="2F5496" w:themeColor="accent1" w:themeShade="BF"/>
      <w:sz w:val="28"/>
      <w:szCs w:val="28"/>
    </w:rPr>
  </w:style>
  <w:style w:type="character" w:customStyle="1" w:styleId="19">
    <w:name w:val="标题 2 字符"/>
    <w:basedOn w:val="14"/>
    <w:link w:val="3"/>
    <w:uiPriority w:val="9"/>
    <w:rPr>
      <w:rFonts w:asciiTheme="majorHAnsi" w:hAnsiTheme="majorHAnsi" w:eastAsiaTheme="majorEastAsia" w:cstheme="majorBidi"/>
      <w:b/>
      <w:bCs/>
      <w:color w:val="4472C4" w:themeColor="accent1"/>
      <w:sz w:val="26"/>
      <w:szCs w:val="26"/>
    </w:rPr>
  </w:style>
  <w:style w:type="character" w:customStyle="1" w:styleId="20">
    <w:name w:val="标题 3 字符"/>
    <w:basedOn w:val="14"/>
    <w:link w:val="4"/>
    <w:uiPriority w:val="9"/>
    <w:rPr>
      <w:rFonts w:asciiTheme="majorHAnsi" w:hAnsiTheme="majorHAnsi" w:eastAsiaTheme="majorEastAsia" w:cstheme="majorBidi"/>
      <w:b/>
      <w:bCs/>
      <w:color w:val="4472C4" w:themeColor="accent1"/>
    </w:rPr>
  </w:style>
  <w:style w:type="character" w:customStyle="1" w:styleId="21">
    <w:name w:val="标题 4 字符"/>
    <w:basedOn w:val="14"/>
    <w:link w:val="5"/>
    <w:uiPriority w:val="9"/>
    <w:rPr>
      <w:rFonts w:asciiTheme="majorHAnsi" w:hAnsiTheme="majorHAnsi" w:eastAsiaTheme="majorEastAsia" w:cstheme="majorBidi"/>
      <w:b/>
      <w:bCs/>
      <w:i/>
      <w:iCs/>
      <w:color w:val="4472C4" w:themeColor="accent1"/>
    </w:rPr>
  </w:style>
  <w:style w:type="character" w:customStyle="1" w:styleId="22">
    <w:name w:val="副标题 字符"/>
    <w:basedOn w:val="14"/>
    <w:link w:val="10"/>
    <w:uiPriority w:val="11"/>
    <w:rPr>
      <w:rFonts w:asciiTheme="majorHAnsi" w:hAnsiTheme="majorHAnsi" w:eastAsiaTheme="majorEastAsia" w:cstheme="majorBidi"/>
      <w:i/>
      <w:iCs/>
      <w:color w:val="4472C4" w:themeColor="accent1"/>
      <w:spacing w:val="15"/>
      <w:sz w:val="24"/>
      <w:szCs w:val="24"/>
    </w:rPr>
  </w:style>
  <w:style w:type="character" w:customStyle="1" w:styleId="23">
    <w:name w:val="标题 字符"/>
    <w:basedOn w:val="14"/>
    <w:link w:val="11"/>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页脚 字符"/>
    <w:basedOn w:val="14"/>
    <w:link w:val="8"/>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6058</Words>
  <Characters>6684</Characters>
  <Lines>227</Lines>
  <Paragraphs>198</Paragraphs>
  <TotalTime>17</TotalTime>
  <ScaleCrop>false</ScaleCrop>
  <LinksUpToDate>false</LinksUpToDate>
  <CharactersWithSpaces>6696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2025-08-26T16:03:00Z</dcterms:created>
  <dc:creator>c'c</dc:creator>
  <cp:lastModifiedBy>Administrator</cp:lastModifiedBy>
  <dcterms:modified xsi:type="dcterms:W3CDTF">2025-12-30T03:19:08Z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eyJoZGlkIjoiYjYwNjEzMDY1YmY2YWIzMWRmOWNiOTYxNmUyNmI0OTQiLCJ1c2VySWQiOiI0MDk1MDg2NjAifQ==</vt:lpwstr>
  </property>
  <property fmtid="{D5CDD505-2E9C-101B-9397-08002B2CF9AE}" pid="3" name="KSOProductBuildVer">
    <vt:lpwstr>2052-11.8.2.8808</vt:lpwstr>
  </property>
  <property fmtid="{D5CDD505-2E9C-101B-9397-08002B2CF9AE}" pid="4" name="ICV">
    <vt:lpwstr>67E926EC73E848DDAE4124DA32EAAC7B_12</vt:lpwstr>
  </property>
</Properties>
</file>