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达坂城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eastAsia="zh-CN"/>
        </w:rPr>
        <w:t>退役军人事务局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2022年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政府信息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公开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年报</w:t>
      </w:r>
    </w:p>
    <w:p>
      <w:pPr>
        <w:pStyle w:val="3"/>
        <w:widowControl/>
        <w:shd w:val="clear" w:color="auto"/>
        <w:spacing w:beforeAutospacing="0" w:afterAutospacing="0" w:line="560" w:lineRule="atLeast"/>
        <w:ind w:firstLine="640"/>
        <w:jc w:val="both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3"/>
        <w:widowControl/>
        <w:shd w:val="clear" w:color="auto"/>
        <w:spacing w:beforeAutospacing="0" w:afterAutospacing="0" w:line="560" w:lineRule="atLeast"/>
        <w:ind w:firstLine="64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达坂城区退役局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认真贯彻落实《中华人民共和国政府信息公开条例》，按照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达坂城区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人民政府政务信息工作的安排部署，不断加大政务公开和政府信息公开的工作力度。现公布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达坂城区退役军人事务局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2022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年度政府信息公开工作报告。报告由总体情况、主动公开政府信息情况、收到和处理政府信息公开申请情况、政府信息公开行政复议及行政诉讼情况、存在的主要问题及改进情况、其他需要报告的事项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部分组成，所列数据的统计期限自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2022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日起至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2022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31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日止。</w:t>
      </w:r>
    </w:p>
    <w:p>
      <w:pPr>
        <w:pStyle w:val="3"/>
        <w:widowControl/>
        <w:shd w:val="clear" w:color="auto"/>
        <w:spacing w:beforeAutospacing="0" w:afterAutospacing="0" w:line="560" w:lineRule="atLeast"/>
        <w:ind w:firstLine="64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一、总体情况</w:t>
      </w:r>
    </w:p>
    <w:p>
      <w:pPr>
        <w:pStyle w:val="3"/>
        <w:widowControl/>
        <w:shd w:val="clear" w:color="auto"/>
        <w:spacing w:beforeAutospacing="0" w:afterAutospacing="0" w:line="560" w:lineRule="atLeast"/>
        <w:ind w:firstLine="64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2022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年，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区退役局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区委区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政府的坚强领导下，以习近平新时代中国特色社会主义思想为指导，深入学习贯彻党的十九大、十九届历次全会和党的二十大精神，坚持以人民为中心持续推进政府信息公开。全年工作紧紧围绕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退役军人服务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工作，规范完善信息公开流程内容，不断提高信息发布实效，扎实推动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退役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政府信息公开工作提质增效，有效保障了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群众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的知情权、参与权、表达权和监督权。</w:t>
      </w:r>
    </w:p>
    <w:p>
      <w:pPr>
        <w:pStyle w:val="3"/>
        <w:widowControl/>
        <w:numPr>
          <w:ilvl w:val="0"/>
          <w:numId w:val="1"/>
        </w:numPr>
        <w:shd w:val="clear" w:color="auto"/>
        <w:spacing w:beforeAutospacing="0" w:afterAutospacing="0" w:line="560" w:lineRule="atLeast"/>
        <w:ind w:firstLine="640"/>
        <w:jc w:val="both"/>
        <w:rPr>
          <w:rFonts w:ascii="方正楷体_GBK" w:hAnsi="方正楷体_GBK" w:eastAsia="方正楷体_GBK" w:cs="方正楷体_GBK"/>
          <w:color w:val="000000"/>
          <w:sz w:val="32"/>
          <w:szCs w:val="32"/>
          <w:shd w:val="clear" w:color="auto" w:fill="FFFFFF"/>
        </w:rPr>
      </w:pPr>
      <w:r>
        <w:rPr>
          <w:rFonts w:ascii="方正楷体_GBK" w:hAnsi="方正楷体_GBK" w:eastAsia="方正楷体_GBK" w:cs="方正楷体_GBK"/>
          <w:color w:val="000000"/>
          <w:sz w:val="32"/>
          <w:szCs w:val="32"/>
          <w:shd w:val="clear" w:color="auto" w:fill="FFFFFF"/>
        </w:rPr>
        <w:t>主动公开情况</w:t>
      </w:r>
    </w:p>
    <w:p>
      <w:pPr>
        <w:pStyle w:val="3"/>
        <w:widowControl/>
        <w:shd w:val="clear" w:color="auto"/>
        <w:spacing w:beforeAutospacing="0" w:afterAutospacing="0" w:line="560" w:lineRule="atLeast"/>
        <w:ind w:firstLine="640"/>
        <w:jc w:val="both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2022</w:t>
      </w: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主动在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政府网站公开机构职能、通知公告、预决算及三公经费等信息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条。</w:t>
      </w:r>
    </w:p>
    <w:p>
      <w:pPr>
        <w:pStyle w:val="3"/>
        <w:widowControl/>
        <w:shd w:val="clear" w:color="auto"/>
        <w:spacing w:beforeAutospacing="0" w:afterAutospacing="0" w:line="560" w:lineRule="atLeast"/>
        <w:ind w:firstLine="64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shd w:val="clear" w:color="auto" w:fill="FFFFFF"/>
        </w:rPr>
        <w:t>（二）依申请公开情况</w:t>
      </w:r>
    </w:p>
    <w:p>
      <w:pPr>
        <w:pStyle w:val="2"/>
        <w:widowControl/>
        <w:shd w:val="clear" w:color="auto"/>
        <w:spacing w:beforeAutospacing="0" w:afterAutospacing="0" w:line="560" w:lineRule="atLeast"/>
        <w:ind w:firstLine="640"/>
        <w:jc w:val="both"/>
        <w:rPr>
          <w:rFonts w:hint="default" w:ascii="微软雅黑" w:hAnsi="微软雅黑" w:eastAsia="微软雅黑" w:cs="微软雅黑"/>
          <w:color w:val="333333"/>
          <w:sz w:val="31"/>
          <w:szCs w:val="31"/>
        </w:rPr>
      </w:pPr>
      <w:r>
        <w:rPr>
          <w:rFonts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本年度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我局未收到任何形式的申请公开信息要求。</w:t>
      </w:r>
    </w:p>
    <w:p>
      <w:pPr>
        <w:pStyle w:val="3"/>
        <w:widowControl/>
        <w:shd w:val="clear" w:color="auto"/>
        <w:spacing w:beforeAutospacing="0" w:afterAutospacing="0" w:line="560" w:lineRule="atLeast"/>
        <w:ind w:firstLine="640"/>
        <w:jc w:val="both"/>
        <w:rPr>
          <w:rFonts w:hint="eastAsia" w:ascii="方正楷体_GBK" w:hAnsi="方正楷体_GBK" w:eastAsia="方正楷体_GBK" w:cs="方正楷体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（三）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shd w:val="clear" w:color="auto" w:fill="FFFFFF"/>
        </w:rPr>
        <w:t>加强政府信息管理</w:t>
      </w:r>
    </w:p>
    <w:p>
      <w:pPr>
        <w:pStyle w:val="3"/>
        <w:widowControl/>
        <w:shd w:val="clear" w:color="auto"/>
        <w:spacing w:beforeAutospacing="0" w:afterAutospacing="0" w:line="560" w:lineRule="atLeast"/>
        <w:ind w:firstLine="640"/>
        <w:jc w:val="both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我局高度重视政府信息公开工作，及时更新政务信息，切实保障群众对我局工作的知情权、参与权和监督权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widowControl/>
        <w:numPr>
          <w:ilvl w:val="0"/>
          <w:numId w:val="2"/>
        </w:numPr>
        <w:shd w:val="clear" w:color="auto"/>
        <w:spacing w:beforeAutospacing="0" w:afterAutospacing="0" w:line="560" w:lineRule="atLeast"/>
        <w:ind w:firstLine="640"/>
        <w:jc w:val="both"/>
        <w:rPr>
          <w:rFonts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fill="FFFFFF"/>
        </w:rPr>
        <w:t>监督保障</w:t>
      </w:r>
    </w:p>
    <w:p>
      <w:pPr>
        <w:pStyle w:val="3"/>
        <w:widowControl/>
        <w:numPr>
          <w:ilvl w:val="0"/>
          <w:numId w:val="0"/>
        </w:numPr>
        <w:shd w:val="clear" w:color="auto"/>
        <w:spacing w:beforeAutospacing="0" w:afterAutospacing="0" w:line="560" w:lineRule="atLeast"/>
        <w:ind w:firstLine="640" w:firstLineChars="200"/>
        <w:jc w:val="both"/>
        <w:rPr>
          <w:rFonts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  <w:t>认真贯彻落实政府信息公开条例，及时完善相关文件制度，严格落实门户网站信息发布保密审查制度，做到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  <w:t>“上网不涉密、涉密不上网”，进一步保障我局政府信息公开内容的安全性。</w:t>
      </w:r>
    </w:p>
    <w:p>
      <w:pPr>
        <w:pStyle w:val="3"/>
        <w:widowControl/>
        <w:shd w:val="clear" w:color="auto"/>
        <w:spacing w:beforeAutospacing="0" w:afterAutospacing="0" w:line="560" w:lineRule="atLeast"/>
        <w:ind w:firstLine="640" w:firstLineChars="20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4"/>
        <w:tblW w:w="89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1"/>
        <w:gridCol w:w="2362"/>
        <w:gridCol w:w="2297"/>
        <w:gridCol w:w="18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6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第二十条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第（一）项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信息内容</w:t>
            </w:r>
          </w:p>
        </w:tc>
        <w:tc>
          <w:tcPr>
            <w:tcW w:w="23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本年制发件数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本年废止件数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现行有效件数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规章</w:t>
            </w:r>
          </w:p>
        </w:tc>
        <w:tc>
          <w:tcPr>
            <w:tcW w:w="23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 w:eastAsiaTheme="minorEastAsia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 w:eastAsiaTheme="minorEastAsia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行政规范性文件</w:t>
            </w:r>
          </w:p>
        </w:tc>
        <w:tc>
          <w:tcPr>
            <w:tcW w:w="23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 w:eastAsiaTheme="minorEastAsia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 w:eastAsiaTheme="minorEastAsia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 w:eastAsiaTheme="minorEastAsia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6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第二十条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第（五）项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信息内容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本年处理决定数量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行政许可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eastAsia" w:ascii="Calibri" w:hAnsi="Calibri" w:cs="Calibri" w:eastAsiaTheme="minorEastAsia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6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第二十条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第（六）项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信息内容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本年处理决定数量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行政处罚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eastAsia" w:ascii="Calibri" w:hAnsi="Calibri" w:cs="Calibri" w:eastAsiaTheme="minorEastAsia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行政强制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eastAsia" w:ascii="Calibri" w:hAnsi="Calibri" w:cs="Calibri" w:eastAsiaTheme="minorEastAsia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6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第二十条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第（八）项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信息内容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本年收费金额（单位：万元）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行政事业性收费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 w:val="30"/>
                <w:szCs w:val="30"/>
              </w:rPr>
              <w:t>0</w:t>
            </w:r>
          </w:p>
        </w:tc>
      </w:tr>
    </w:tbl>
    <w:p>
      <w:pPr>
        <w:pStyle w:val="3"/>
        <w:widowControl/>
        <w:shd w:val="clear" w:color="auto"/>
        <w:spacing w:beforeAutospacing="0" w:afterAutospacing="0" w:line="560" w:lineRule="atLeast"/>
        <w:ind w:firstLine="640" w:firstLineChars="20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4"/>
        <w:tblW w:w="878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1"/>
        <w:gridCol w:w="750"/>
        <w:gridCol w:w="3127"/>
        <w:gridCol w:w="398"/>
        <w:gridCol w:w="631"/>
        <w:gridCol w:w="596"/>
        <w:gridCol w:w="849"/>
        <w:gridCol w:w="813"/>
        <w:gridCol w:w="566"/>
        <w:gridCol w:w="2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</w:rPr>
              <w:t>（本列数据的勾稽关系为：第一项加第二项之和，等于第三项加第四项之和）</w:t>
            </w:r>
          </w:p>
        </w:tc>
        <w:tc>
          <w:tcPr>
            <w:tcW w:w="417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</w:rPr>
              <w:t>自然人</w:t>
            </w:r>
          </w:p>
        </w:tc>
        <w:tc>
          <w:tcPr>
            <w:tcW w:w="349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</w:rPr>
              <w:t>法人或其他组织</w:t>
            </w:r>
          </w:p>
        </w:tc>
        <w:tc>
          <w:tcPr>
            <w:tcW w:w="28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商业企业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科研机构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社会公益组织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法律服务机构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其他</w:t>
            </w:r>
          </w:p>
        </w:tc>
        <w:tc>
          <w:tcPr>
            <w:tcW w:w="2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一、本年新收政府信息公开申请数量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二、上年结转政府信息公开申请数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三、本年度办理结果</w:t>
            </w:r>
          </w:p>
        </w:tc>
        <w:tc>
          <w:tcPr>
            <w:tcW w:w="38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（一）予以公开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（二）部分公开（区分处理的，只计这一情形，不计其他情形）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（三）不予公开</w:t>
            </w: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属于国家秘密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其他法律行政法规禁止公开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危及“三安全一稳定”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保护第三方合法权益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属于三类内部事务信息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属于四类过程性信息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属于行政执法案卷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8.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属于行政查询事项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（四）无法提供</w:t>
            </w: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本机关不掌握相关政府信息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没有现成信息需要另行制作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补正后申请内容仍不明确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（五）不予处理</w:t>
            </w: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信访举报投诉类申请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重复申请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要求提供公开出版物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无正当理由大量反复申请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6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要求行政机关确认或重新出具已获取信息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（六）其他处理</w:t>
            </w: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申请人无正当理由逾期不补正、行政机关不再处理其政府信息公开申请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申请人逾期未按收费通知要求缴纳费用、行政机关不再处理其政府信息公开申请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其他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（七）总计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四、结转下年度继续办理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>
      <w:pPr>
        <w:pStyle w:val="3"/>
        <w:widowControl/>
        <w:shd w:val="clear" w:color="auto"/>
        <w:spacing w:beforeAutospacing="0" w:afterAutospacing="0" w:line="560" w:lineRule="atLeast"/>
        <w:ind w:firstLine="64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4"/>
        <w:tblW w:w="878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615"/>
        <w:gridCol w:w="631"/>
        <w:gridCol w:w="647"/>
        <w:gridCol w:w="726"/>
        <w:gridCol w:w="581"/>
        <w:gridCol w:w="580"/>
        <w:gridCol w:w="581"/>
        <w:gridCol w:w="581"/>
        <w:gridCol w:w="582"/>
        <w:gridCol w:w="580"/>
        <w:gridCol w:w="580"/>
        <w:gridCol w:w="583"/>
        <w:gridCol w:w="581"/>
        <w:gridCol w:w="3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32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行政复议</w:t>
            </w:r>
          </w:p>
        </w:tc>
        <w:tc>
          <w:tcPr>
            <w:tcW w:w="5530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6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结果维持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结果纠正</w:t>
            </w:r>
          </w:p>
        </w:tc>
        <w:tc>
          <w:tcPr>
            <w:tcW w:w="63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其他结果</w:t>
            </w:r>
          </w:p>
        </w:tc>
        <w:tc>
          <w:tcPr>
            <w:tcW w:w="64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尚未审结</w:t>
            </w:r>
          </w:p>
        </w:tc>
        <w:tc>
          <w:tcPr>
            <w:tcW w:w="72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总计</w:t>
            </w:r>
          </w:p>
        </w:tc>
        <w:tc>
          <w:tcPr>
            <w:tcW w:w="290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未经复议直接起诉</w:t>
            </w:r>
          </w:p>
        </w:tc>
        <w:tc>
          <w:tcPr>
            <w:tcW w:w="262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结果维持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结果纠正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其他结果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尚未审结</w:t>
            </w:r>
          </w:p>
        </w:tc>
        <w:tc>
          <w:tcPr>
            <w:tcW w:w="5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总计</w:t>
            </w:r>
          </w:p>
        </w:tc>
        <w:tc>
          <w:tcPr>
            <w:tcW w:w="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结果维持</w:t>
            </w:r>
          </w:p>
        </w:tc>
        <w:tc>
          <w:tcPr>
            <w:tcW w:w="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结果纠正</w:t>
            </w:r>
          </w:p>
        </w:tc>
        <w:tc>
          <w:tcPr>
            <w:tcW w:w="5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其他结果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尚未审结</w:t>
            </w:r>
          </w:p>
        </w:tc>
        <w:tc>
          <w:tcPr>
            <w:tcW w:w="3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3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sz w:val="21"/>
                <w:szCs w:val="21"/>
              </w:rPr>
              <w:t>0</w:t>
            </w:r>
          </w:p>
        </w:tc>
      </w:tr>
    </w:tbl>
    <w:p>
      <w:pPr>
        <w:pStyle w:val="3"/>
        <w:widowControl/>
        <w:numPr>
          <w:ilvl w:val="0"/>
          <w:numId w:val="3"/>
        </w:numPr>
        <w:shd w:val="clear" w:color="auto"/>
        <w:spacing w:beforeAutospacing="0" w:afterAutospacing="0" w:line="560" w:lineRule="atLeast"/>
        <w:ind w:firstLine="640"/>
        <w:jc w:val="both"/>
        <w:rPr>
          <w:rFonts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存在问题及改进情况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2022</w:t>
      </w: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年，我局在推进政府信息公开工作中虽然做了大量工作，取得了一定成效，但在落实过程中还存在一些问题。</w:t>
      </w:r>
      <w:r>
        <w:rPr>
          <w:rFonts w:hint="eastAsia" w:ascii="方正仿宋_GBK" w:hAnsi="方正仿宋_GBK" w:eastAsia="方正仿宋_GBK" w:cs="方正仿宋_GBK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政府信息公开事项目录清单还需进一步完善、细化；</w:t>
      </w:r>
      <w:r>
        <w:rPr>
          <w:rFonts w:hint="eastAsia" w:ascii="方正仿宋_GBK" w:hAnsi="方正仿宋_GBK" w:eastAsia="方正仿宋_GBK" w:cs="方正仿宋_GBK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涉及退役军人相关的优待优抚政策、法律法规还需进一步加强。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下一步，我局将围绕市政府信息公开工作各项要求，进一步抓紧各项落实。</w:t>
      </w:r>
      <w:r>
        <w:rPr>
          <w:rFonts w:hint="eastAsia" w:ascii="方正仿宋_GBK" w:hAnsi="方正仿宋_GBK" w:eastAsia="方正仿宋_GBK" w:cs="方正仿宋_GBK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深入学习贯彻《中华人民共和国政府信息公开条例》，不断完善、细化政府信息公开内容，公开方式，确保公开的信息及时、准确和全面，让广大退役军人能及时了解政府公开工作动态信息。</w:t>
      </w:r>
      <w:r>
        <w:rPr>
          <w:rFonts w:hint="eastAsia" w:ascii="方正仿宋_GBK" w:hAnsi="方正仿宋_GBK" w:eastAsia="方正仿宋_GBK" w:cs="方正仿宋_GBK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进一步提高政府信息公开工作的业务水平。</w:t>
      </w:r>
      <w:r>
        <w:rPr>
          <w:rFonts w:hint="eastAsia" w:ascii="方正仿宋_GBK" w:hAnsi="方正仿宋_GBK" w:eastAsia="方正仿宋_GBK" w:cs="方正仿宋_GBK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充分发挥新媒体平台优势，加大宣传力度，让广大退役军人能详细了解相关政策法规。</w:t>
      </w:r>
    </w:p>
    <w:p>
      <w:pPr>
        <w:pStyle w:val="3"/>
        <w:widowControl/>
        <w:shd w:val="clear" w:color="auto"/>
        <w:spacing w:beforeAutospacing="0" w:afterAutospacing="0" w:line="560" w:lineRule="atLeast"/>
        <w:ind w:firstLine="64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六、其他需要报告的事项</w:t>
      </w:r>
    </w:p>
    <w:p>
      <w:pPr>
        <w:pStyle w:val="3"/>
        <w:widowControl/>
        <w:shd w:val="clear" w:color="auto"/>
        <w:spacing w:beforeAutospacing="0" w:afterAutospacing="0" w:line="560" w:lineRule="atLeast"/>
        <w:ind w:firstLine="64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根据《政府信息公开信息处理费管理办法》规定的收取信息处理费标准，本年度未产生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信息公开处理费。</w:t>
      </w:r>
    </w:p>
    <w:p>
      <w:pPr>
        <w:pStyle w:val="3"/>
        <w:widowControl/>
        <w:shd w:val="clear" w:color="auto"/>
        <w:spacing w:beforeAutospacing="0" w:afterAutospacing="0" w:line="560" w:lineRule="atLeast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  <w:shd w:val="clear" w:color="auto" w:fill="FFFFFF"/>
        </w:rPr>
        <w:t> </w:t>
      </w:r>
    </w:p>
    <w:p>
      <w:pPr>
        <w:pStyle w:val="3"/>
        <w:widowControl/>
        <w:shd w:val="clear" w:color="auto"/>
        <w:spacing w:beforeAutospacing="0" w:afterAutospacing="0" w:line="560" w:lineRule="atLeast"/>
        <w:ind w:firstLine="64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  <w:shd w:val="clear" w:color="auto" w:fill="FFFFFF"/>
        </w:rPr>
        <w:t> </w:t>
      </w:r>
    </w:p>
    <w:p>
      <w:pPr>
        <w:pStyle w:val="3"/>
        <w:widowControl/>
        <w:shd w:val="clear" w:color="auto"/>
        <w:spacing w:beforeAutospacing="0" w:afterAutospacing="0" w:line="560" w:lineRule="atLeast"/>
        <w:jc w:val="center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达坂城区退役军人事务局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                  </w:t>
      </w:r>
    </w:p>
    <w:p>
      <w:pPr>
        <w:pStyle w:val="3"/>
        <w:widowControl/>
        <w:shd w:val="clear" w:color="auto"/>
        <w:spacing w:beforeAutospacing="0" w:afterAutospacing="0" w:line="560" w:lineRule="atLeast"/>
        <w:jc w:val="center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  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2023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日</w:t>
      </w: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F167F"/>
    <w:multiLevelType w:val="singleLevel"/>
    <w:tmpl w:val="155F167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4B85538"/>
    <w:multiLevelType w:val="singleLevel"/>
    <w:tmpl w:val="34B85538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5DC9FB0"/>
    <w:multiLevelType w:val="singleLevel"/>
    <w:tmpl w:val="45DC9FB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D719D"/>
    <w:rsid w:val="43FD73EA"/>
    <w:rsid w:val="6D9E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2023-11-30T09:37:00Z</dcterms:created>
  <dc:creator>Administrator</dc:creator>
  <cp:lastModifiedBy>Administrator</cp:lastModifiedBy>
  <dcterms:modified xsi:type="dcterms:W3CDTF">2023-12-01T04:01:58Z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