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_GBK" w:hAnsi="方正小标宋_GBK" w:eastAsia="方正小标宋_GBK" w:cs="方正小标宋_GBK"/>
          <w:color w:val="000000"/>
          <w:sz w:val="44"/>
          <w:szCs w:val="44"/>
          <w:shd w:val="clear" w:color="auto" w:fill="FFFFFF"/>
          <w:lang w:val="en-US" w:eastAsia="zh-CN"/>
        </w:rPr>
      </w:pPr>
      <w:r>
        <w:rPr>
          <w:rFonts w:hint="eastAsia" w:ascii="方正小标宋_GBK" w:hAnsi="方正小标宋_GBK" w:eastAsia="方正小标宋_GBK" w:cs="方正小标宋_GBK"/>
          <w:color w:val="000000"/>
          <w:sz w:val="44"/>
          <w:szCs w:val="44"/>
          <w:shd w:val="clear" w:color="auto" w:fill="FFFFFF"/>
          <w:lang w:val="en-US" w:eastAsia="zh-CN"/>
        </w:rPr>
        <w:t>达坂城</w:t>
      </w:r>
      <w:r>
        <w:rPr>
          <w:rFonts w:hint="eastAsia" w:ascii="方正小标宋_GBK" w:hAnsi="方正小标宋_GBK" w:eastAsia="方正小标宋_GBK" w:cs="方正小标宋_GBK"/>
          <w:color w:val="000000"/>
          <w:sz w:val="44"/>
          <w:szCs w:val="44"/>
          <w:shd w:val="clear" w:color="auto" w:fill="FFFFFF"/>
        </w:rPr>
        <w:t>区</w:t>
      </w:r>
      <w:r>
        <w:rPr>
          <w:rFonts w:hint="eastAsia" w:ascii="方正小标宋_GBK" w:hAnsi="方正小标宋_GBK" w:eastAsia="方正小标宋_GBK" w:cs="方正小标宋_GBK"/>
          <w:color w:val="000000"/>
          <w:sz w:val="44"/>
          <w:szCs w:val="44"/>
          <w:shd w:val="clear" w:color="auto" w:fill="FFFFFF"/>
          <w:lang w:eastAsia="zh-CN"/>
        </w:rPr>
        <w:t>建设局（交通局、人防办）</w:t>
      </w:r>
      <w:r>
        <w:rPr>
          <w:rFonts w:hint="eastAsia" w:ascii="方正小标宋_GBK" w:hAnsi="方正小标宋_GBK" w:eastAsia="方正小标宋_GBK" w:cs="方正小标宋_GBK"/>
          <w:color w:val="000000"/>
          <w:sz w:val="44"/>
          <w:szCs w:val="44"/>
          <w:shd w:val="clear" w:color="auto" w:fill="FFFFFF"/>
          <w:lang w:val="en-US" w:eastAsia="zh-CN"/>
        </w:rPr>
        <w:t>2022年</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jc w:val="center"/>
        <w:textAlignment w:val="auto"/>
        <w:rPr>
          <w:rFonts w:ascii="方正仿宋_GBK" w:hAnsi="方正仿宋_GBK" w:eastAsia="方正仿宋_GBK" w:cs="方正仿宋_GBK"/>
          <w:color w:val="000000"/>
          <w:sz w:val="32"/>
          <w:szCs w:val="32"/>
          <w:shd w:val="clear" w:color="auto" w:fill="FFFFFF"/>
        </w:rPr>
      </w:pPr>
      <w:r>
        <w:rPr>
          <w:rFonts w:hint="eastAsia" w:ascii="方正小标宋_GBK" w:hAnsi="方正小标宋_GBK" w:eastAsia="方正小标宋_GBK" w:cs="方正小标宋_GBK"/>
          <w:color w:val="000000"/>
          <w:sz w:val="44"/>
          <w:szCs w:val="44"/>
          <w:shd w:val="clear" w:color="auto" w:fill="FFFFFF"/>
        </w:rPr>
        <w:t>政府信息</w:t>
      </w:r>
      <w:r>
        <w:rPr>
          <w:rFonts w:hint="eastAsia" w:ascii="方正小标宋_GBK" w:hAnsi="方正小标宋_GBK" w:eastAsia="方正小标宋_GBK" w:cs="方正小标宋_GBK"/>
          <w:color w:val="000000"/>
          <w:sz w:val="44"/>
          <w:szCs w:val="44"/>
          <w:shd w:val="clear" w:color="auto" w:fill="FFFFFF"/>
          <w:lang w:val="en-US" w:eastAsia="zh-CN"/>
        </w:rPr>
        <w:t>公开</w:t>
      </w:r>
      <w:r>
        <w:rPr>
          <w:rFonts w:hint="eastAsia" w:ascii="方正小标宋_GBK" w:hAnsi="方正小标宋_GBK" w:eastAsia="方正小标宋_GBK" w:cs="方正小标宋_GBK"/>
          <w:color w:val="000000"/>
          <w:sz w:val="44"/>
          <w:szCs w:val="44"/>
          <w:shd w:val="clear" w:color="auto" w:fill="FFFFFF"/>
        </w:rPr>
        <w:t>年报</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rPr>
          <w:rFonts w:hint="default" w:ascii="Times New Roman" w:hAnsi="Times New Roman" w:eastAsia="方正仿宋_GBK" w:cs="Times New Roman"/>
          <w:color w:val="000000"/>
          <w:sz w:val="32"/>
          <w:szCs w:val="32"/>
          <w:shd w:val="clear" w:color="auto" w:fill="FFFFFF"/>
          <w:lang w:val="en-US" w:eastAsia="zh-CN"/>
        </w:rPr>
      </w:pP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1"/>
        <w:jc w:val="both"/>
        <w:textAlignment w:val="auto"/>
        <w:rPr>
          <w:rFonts w:ascii="Calibri" w:hAnsi="Calibri" w:cs="Calibri"/>
          <w:color w:val="333333"/>
          <w:sz w:val="21"/>
          <w:szCs w:val="21"/>
        </w:rPr>
      </w:pPr>
      <w:r>
        <w:rPr>
          <w:rFonts w:hint="default" w:ascii="Times New Roman" w:hAnsi="Times New Roman" w:eastAsia="方正仿宋_GBK" w:cs="Times New Roman"/>
          <w:color w:val="000000"/>
          <w:sz w:val="32"/>
          <w:szCs w:val="32"/>
          <w:shd w:val="clear" w:color="auto" w:fill="FFFFFF"/>
          <w:lang w:val="en-US" w:eastAsia="zh-CN"/>
        </w:rPr>
        <w:t>2022年以来，达坂城区建设局（交通局</w:t>
      </w:r>
      <w:r>
        <w:rPr>
          <w:rFonts w:hint="eastAsia" w:ascii="Times New Roman" w:hAnsi="Times New Roman" w:eastAsia="方正仿宋_GBK" w:cs="Times New Roman"/>
          <w:color w:val="000000"/>
          <w:sz w:val="32"/>
          <w:szCs w:val="32"/>
          <w:shd w:val="clear" w:color="auto" w:fill="FFFFFF"/>
          <w:lang w:val="en-US" w:eastAsia="zh-CN"/>
        </w:rPr>
        <w:t>、人防办</w:t>
      </w:r>
      <w:r>
        <w:rPr>
          <w:rFonts w:hint="default" w:ascii="Times New Roman" w:hAnsi="Times New Roman" w:eastAsia="方正仿宋_GBK" w:cs="Times New Roman"/>
          <w:color w:val="000000"/>
          <w:sz w:val="32"/>
          <w:szCs w:val="32"/>
          <w:shd w:val="clear" w:color="auto" w:fill="FFFFFF"/>
          <w:lang w:val="en-US" w:eastAsia="zh-CN"/>
        </w:rPr>
        <w:t>）</w:t>
      </w:r>
      <w:r>
        <w:rPr>
          <w:rFonts w:hint="default" w:ascii="Times New Roman" w:hAnsi="Times New Roman" w:eastAsia="方正仿宋_GBK" w:cs="Times New Roman"/>
          <w:color w:val="000000"/>
          <w:sz w:val="32"/>
          <w:szCs w:val="32"/>
          <w:shd w:val="clear" w:color="auto" w:fill="FFFFFF"/>
        </w:rPr>
        <w:t>认真贯彻落实《中华人民共和国政府信息公开条例》，按照</w:t>
      </w:r>
      <w:r>
        <w:rPr>
          <w:rFonts w:hint="default" w:ascii="Times New Roman" w:hAnsi="Times New Roman" w:eastAsia="方正仿宋_GBK" w:cs="Times New Roman"/>
          <w:color w:val="000000"/>
          <w:sz w:val="32"/>
          <w:szCs w:val="32"/>
          <w:shd w:val="clear" w:color="auto" w:fill="FFFFFF"/>
          <w:lang w:eastAsia="zh-CN"/>
        </w:rPr>
        <w:t>达坂城区</w:t>
      </w:r>
      <w:r>
        <w:rPr>
          <w:rFonts w:hint="default" w:ascii="Times New Roman" w:hAnsi="Times New Roman" w:eastAsia="方正仿宋_GBK" w:cs="Times New Roman"/>
          <w:color w:val="000000"/>
          <w:sz w:val="32"/>
          <w:szCs w:val="32"/>
          <w:shd w:val="clear" w:color="auto" w:fill="FFFFFF"/>
        </w:rPr>
        <w:t>人民政府政务信息工作的安排部署，不断加大政务公开和政府信息公开的工作力度。现公布</w:t>
      </w:r>
      <w:r>
        <w:rPr>
          <w:rFonts w:hint="default" w:ascii="Times New Roman" w:hAnsi="Times New Roman" w:eastAsia="方正仿宋_GBK" w:cs="Times New Roman"/>
          <w:color w:val="000000"/>
          <w:sz w:val="32"/>
          <w:szCs w:val="32"/>
          <w:shd w:val="clear" w:color="auto" w:fill="FFFFFF"/>
          <w:lang w:val="en-US" w:eastAsia="zh-CN"/>
        </w:rPr>
        <w:t>达坂城区建设局（交通局</w:t>
      </w:r>
      <w:r>
        <w:rPr>
          <w:rFonts w:hint="eastAsia" w:ascii="Times New Roman" w:hAnsi="Times New Roman" w:eastAsia="方正仿宋_GBK" w:cs="Times New Roman"/>
          <w:color w:val="000000"/>
          <w:sz w:val="32"/>
          <w:szCs w:val="32"/>
          <w:shd w:val="clear" w:color="auto" w:fill="FFFFFF"/>
          <w:lang w:val="en-US" w:eastAsia="zh-CN"/>
        </w:rPr>
        <w:t>、人防办</w:t>
      </w:r>
      <w:r>
        <w:rPr>
          <w:rFonts w:hint="default" w:ascii="Times New Roman" w:hAnsi="Times New Roman" w:eastAsia="方正仿宋_GBK" w:cs="Times New Roman"/>
          <w:color w:val="000000"/>
          <w:sz w:val="32"/>
          <w:szCs w:val="32"/>
          <w:shd w:val="clear" w:color="auto" w:fill="FFFFFF"/>
          <w:lang w:val="en-US" w:eastAsia="zh-CN"/>
        </w:rPr>
        <w:t>）</w:t>
      </w:r>
      <w:r>
        <w:rPr>
          <w:rFonts w:hint="default" w:ascii="Times New Roman" w:hAnsi="Times New Roman" w:cs="Times New Roman"/>
          <w:color w:val="000000"/>
          <w:sz w:val="32"/>
          <w:szCs w:val="32"/>
          <w:shd w:val="clear" w:color="auto" w:fill="FFFFFF"/>
        </w:rPr>
        <w:t>2022</w:t>
      </w:r>
      <w:r>
        <w:rPr>
          <w:rFonts w:hint="default" w:ascii="Times New Roman" w:hAnsi="Times New Roman" w:eastAsia="方正仿宋_GBK" w:cs="Times New Roman"/>
          <w:color w:val="000000"/>
          <w:sz w:val="32"/>
          <w:szCs w:val="32"/>
          <w:shd w:val="clear" w:color="auto" w:fill="FFFFFF"/>
        </w:rPr>
        <w:t>年度政府信息公开工作报告。报告由</w:t>
      </w:r>
      <w:r>
        <w:rPr>
          <w:rFonts w:hint="eastAsia" w:ascii="方正仿宋_GBK" w:hAnsi="方正仿宋_GBK" w:eastAsia="方正仿宋_GBK" w:cs="方正仿宋_GBK"/>
          <w:color w:val="000000"/>
          <w:sz w:val="32"/>
          <w:szCs w:val="32"/>
          <w:shd w:val="clear" w:color="auto" w:fill="FFFFFF"/>
        </w:rPr>
        <w:t>总体情况、主动公开政府信息情况、收到和处理政府信息公开申请情况、政府信息公开行政复议及行政诉讼情况、存在的主要问题及改进情况、其他需要报告的事项</w:t>
      </w:r>
      <w:r>
        <w:rPr>
          <w:rFonts w:ascii="Times New Roman" w:hAnsi="Times New Roman" w:eastAsia="方正仿宋_GBK"/>
          <w:color w:val="000000"/>
          <w:sz w:val="32"/>
          <w:szCs w:val="32"/>
          <w:shd w:val="clear" w:color="auto" w:fill="FFFFFF"/>
        </w:rPr>
        <w:t>6</w:t>
      </w:r>
      <w:r>
        <w:rPr>
          <w:rFonts w:hint="eastAsia" w:ascii="方正仿宋_GBK" w:hAnsi="方正仿宋_GBK" w:eastAsia="方正仿宋_GBK" w:cs="方正仿宋_GBK"/>
          <w:color w:val="000000"/>
          <w:sz w:val="32"/>
          <w:szCs w:val="32"/>
          <w:shd w:val="clear" w:color="auto" w:fill="FFFFFF"/>
        </w:rPr>
        <w:t>部分组成，所列数据的统计期限自</w:t>
      </w:r>
      <w:r>
        <w:rPr>
          <w:rFonts w:ascii="Times New Roman" w:hAnsi="Times New Roman"/>
          <w:color w:val="000000"/>
          <w:sz w:val="32"/>
          <w:szCs w:val="32"/>
          <w:shd w:val="clear" w:color="auto" w:fill="FFFFFF"/>
        </w:rPr>
        <w:t>2022</w:t>
      </w:r>
      <w:r>
        <w:rPr>
          <w:rFonts w:hint="eastAsia" w:ascii="方正仿宋_GBK" w:hAnsi="方正仿宋_GBK" w:eastAsia="方正仿宋_GBK" w:cs="方正仿宋_GBK"/>
          <w:color w:val="000000"/>
          <w:sz w:val="32"/>
          <w:szCs w:val="32"/>
          <w:shd w:val="clear" w:color="auto" w:fill="FFFFFF"/>
        </w:rPr>
        <w:t>年</w:t>
      </w:r>
      <w:r>
        <w:rPr>
          <w:rFonts w:ascii="Times New Roman" w:hAnsi="Times New Roman"/>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rPr>
        <w:t>月</w:t>
      </w:r>
      <w:r>
        <w:rPr>
          <w:rFonts w:ascii="Times New Roman" w:hAnsi="Times New Roman"/>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rPr>
        <w:t>日起至</w:t>
      </w:r>
      <w:r>
        <w:rPr>
          <w:rFonts w:ascii="Times New Roman" w:hAnsi="Times New Roman"/>
          <w:color w:val="000000"/>
          <w:sz w:val="32"/>
          <w:szCs w:val="32"/>
          <w:shd w:val="clear" w:color="auto" w:fill="FFFFFF"/>
        </w:rPr>
        <w:t>2022</w:t>
      </w:r>
      <w:r>
        <w:rPr>
          <w:rFonts w:hint="eastAsia" w:ascii="方正仿宋_GBK" w:hAnsi="方正仿宋_GBK" w:eastAsia="方正仿宋_GBK" w:cs="方正仿宋_GBK"/>
          <w:color w:val="000000"/>
          <w:sz w:val="32"/>
          <w:szCs w:val="32"/>
          <w:shd w:val="clear" w:color="auto" w:fill="FFFFFF"/>
        </w:rPr>
        <w:t>年</w:t>
      </w:r>
      <w:r>
        <w:rPr>
          <w:rFonts w:ascii="Times New Roman" w:hAnsi="Times New Roman"/>
          <w:color w:val="000000"/>
          <w:sz w:val="32"/>
          <w:szCs w:val="32"/>
          <w:shd w:val="clear" w:color="auto" w:fill="FFFFFF"/>
        </w:rPr>
        <w:t>12</w:t>
      </w:r>
      <w:r>
        <w:rPr>
          <w:rFonts w:hint="eastAsia" w:ascii="方正仿宋_GBK" w:hAnsi="方正仿宋_GBK" w:eastAsia="方正仿宋_GBK" w:cs="方正仿宋_GBK"/>
          <w:color w:val="000000"/>
          <w:sz w:val="32"/>
          <w:szCs w:val="32"/>
          <w:shd w:val="clear" w:color="auto" w:fill="FFFFFF"/>
        </w:rPr>
        <w:t>月</w:t>
      </w:r>
      <w:r>
        <w:rPr>
          <w:rFonts w:ascii="Times New Roman" w:hAnsi="Times New Roman"/>
          <w:color w:val="000000"/>
          <w:sz w:val="32"/>
          <w:szCs w:val="32"/>
          <w:shd w:val="clear" w:color="auto" w:fill="FFFFFF"/>
        </w:rPr>
        <w:t>31</w:t>
      </w:r>
      <w:r>
        <w:rPr>
          <w:rFonts w:hint="eastAsia" w:ascii="方正仿宋_GBK" w:hAnsi="方正仿宋_GBK" w:eastAsia="方正仿宋_GBK" w:cs="方正仿宋_GBK"/>
          <w:color w:val="000000"/>
          <w:sz w:val="32"/>
          <w:szCs w:val="32"/>
          <w:shd w:val="clear" w:color="auto" w:fill="FFFFFF"/>
        </w:rPr>
        <w:t>日止。</w:t>
      </w:r>
    </w:p>
    <w:p>
      <w:pPr>
        <w:pStyle w:val="3"/>
        <w:keepNext w:val="0"/>
        <w:keepLines w:val="0"/>
        <w:pageBreakBefore w:val="0"/>
        <w:widowControl/>
        <w:numPr>
          <w:ilvl w:val="0"/>
          <w:numId w:val="1"/>
        </w:numPr>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ascii="方正黑体_GBK" w:hAnsi="方正黑体_GBK" w:eastAsia="方正黑体_GBK" w:cs="方正黑体_GBK"/>
          <w:color w:val="000000"/>
          <w:sz w:val="32"/>
          <w:szCs w:val="32"/>
          <w:shd w:val="clear" w:color="auto" w:fill="FFFFFF"/>
        </w:rPr>
      </w:pPr>
      <w:r>
        <w:rPr>
          <w:rFonts w:ascii="方正黑体_GBK" w:hAnsi="方正黑体_GBK" w:eastAsia="方正黑体_GBK" w:cs="方正黑体_GBK"/>
          <w:color w:val="000000"/>
          <w:sz w:val="32"/>
          <w:szCs w:val="32"/>
          <w:shd w:val="clear" w:color="auto" w:fill="FFFFFF"/>
        </w:rPr>
        <w:t>总体情况</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2022年，</w:t>
      </w:r>
      <w:r>
        <w:rPr>
          <w:rFonts w:hint="eastAsia" w:ascii="方正仿宋_GBK" w:hAnsi="方正仿宋_GBK" w:eastAsia="方正仿宋_GBK" w:cs="方正仿宋_GBK"/>
          <w:color w:val="000000"/>
          <w:sz w:val="32"/>
          <w:szCs w:val="32"/>
          <w:shd w:val="clear" w:color="auto" w:fill="FFFFFF"/>
          <w:lang w:val="en-US" w:eastAsia="zh-CN"/>
        </w:rPr>
        <w:t>达坂城区建设局（交通局、人防办）</w:t>
      </w:r>
      <w:r>
        <w:rPr>
          <w:rFonts w:hint="default" w:ascii="Times New Roman" w:hAnsi="Times New Roman" w:eastAsia="方正仿宋_GBK" w:cs="Times New Roman"/>
          <w:color w:val="000000"/>
          <w:sz w:val="32"/>
          <w:szCs w:val="32"/>
          <w:shd w:val="clear" w:color="auto" w:fill="FFFFFF"/>
        </w:rPr>
        <w:t>按照《中华人民共和国政府信息公开条例》要求做好主动公开、依申请公开、信息公开平台建设等工作，持续深化建设领域信息公开工作，积极回应社会关切需求，努力提升政务公开水平和质量，取得了一定成效。</w:t>
      </w:r>
    </w:p>
    <w:p>
      <w:pPr>
        <w:pStyle w:val="3"/>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ascii="方正楷体_GBK" w:hAnsi="方正楷体_GBK" w:eastAsia="方正楷体_GBK" w:cs="方正楷体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lang w:eastAsia="zh-CN"/>
        </w:rPr>
        <w:t>（一）</w:t>
      </w:r>
      <w:r>
        <w:rPr>
          <w:rFonts w:ascii="方正楷体_GBK" w:hAnsi="方正楷体_GBK" w:eastAsia="方正楷体_GBK" w:cs="方正楷体_GBK"/>
          <w:color w:val="000000"/>
          <w:sz w:val="32"/>
          <w:szCs w:val="32"/>
          <w:shd w:val="clear" w:color="auto" w:fill="FFFFFF"/>
        </w:rPr>
        <w:t>主动公开情况</w:t>
      </w:r>
    </w:p>
    <w:p>
      <w:pPr>
        <w:pStyle w:val="3"/>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方正仿宋_GBK" w:cs="Times New Roman"/>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1. 在区</w:t>
      </w:r>
      <w:r>
        <w:rPr>
          <w:rFonts w:hint="default" w:ascii="Times New Roman" w:hAnsi="Times New Roman" w:eastAsia="方正仿宋_GBK" w:cs="Times New Roman"/>
          <w:color w:val="000000"/>
          <w:sz w:val="32"/>
          <w:szCs w:val="32"/>
          <w:shd w:val="clear" w:color="auto" w:fill="FFFFFF"/>
          <w:lang w:val="en-US" w:eastAsia="zh-CN"/>
        </w:rPr>
        <w:t>人民政府</w:t>
      </w:r>
      <w:r>
        <w:rPr>
          <w:rFonts w:hint="eastAsia" w:ascii="Times New Roman" w:hAnsi="Times New Roman" w:eastAsia="方正仿宋_GBK" w:cs="Times New Roman"/>
          <w:color w:val="000000"/>
          <w:sz w:val="32"/>
          <w:szCs w:val="32"/>
          <w:shd w:val="clear" w:color="auto" w:fill="FFFFFF"/>
          <w:lang w:val="en-US" w:eastAsia="zh-CN"/>
        </w:rPr>
        <w:t>网站“收费公开”专栏主动公开《达坂城区建设局城市配套费收费窗口项目告知单》《关于印发&lt;新疆维吾尔自治区城市市政公用基础设施配套费征收使用管理办法&gt;的通知》。</w:t>
      </w:r>
    </w:p>
    <w:p>
      <w:pPr>
        <w:pStyle w:val="3"/>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2. 在区</w:t>
      </w:r>
      <w:r>
        <w:rPr>
          <w:rFonts w:hint="default" w:ascii="Times New Roman" w:hAnsi="Times New Roman" w:eastAsia="方正仿宋_GBK" w:cs="Times New Roman"/>
          <w:color w:val="000000"/>
          <w:sz w:val="32"/>
          <w:szCs w:val="32"/>
          <w:shd w:val="clear" w:color="auto" w:fill="FFFFFF"/>
          <w:lang w:val="en-US" w:eastAsia="zh-CN"/>
        </w:rPr>
        <w:t>人民政府</w:t>
      </w:r>
      <w:r>
        <w:rPr>
          <w:rFonts w:hint="eastAsia" w:ascii="Times New Roman" w:hAnsi="Times New Roman" w:eastAsia="方正仿宋_GBK" w:cs="Times New Roman"/>
          <w:color w:val="000000"/>
          <w:sz w:val="32"/>
          <w:szCs w:val="32"/>
          <w:shd w:val="clear" w:color="auto" w:fill="FFFFFF"/>
          <w:lang w:val="en-US" w:eastAsia="zh-CN"/>
        </w:rPr>
        <w:t>网站“规划公开</w:t>
      </w:r>
      <w:r>
        <w:rPr>
          <w:rFonts w:hint="default" w:ascii="Times New Roman" w:hAnsi="Times New Roman" w:eastAsia="方正仿宋_GBK" w:cs="Times New Roman"/>
          <w:color w:val="000000"/>
          <w:sz w:val="32"/>
          <w:szCs w:val="32"/>
          <w:shd w:val="clear" w:color="auto" w:fill="FFFFFF"/>
          <w:lang w:val="en-US" w:eastAsia="zh-CN"/>
        </w:rPr>
        <w:t>”</w:t>
      </w:r>
      <w:r>
        <w:rPr>
          <w:rFonts w:hint="eastAsia" w:ascii="Times New Roman" w:hAnsi="Times New Roman" w:eastAsia="方正仿宋_GBK" w:cs="Times New Roman"/>
          <w:color w:val="000000"/>
          <w:sz w:val="32"/>
          <w:szCs w:val="32"/>
          <w:shd w:val="clear" w:color="auto" w:fill="FFFFFF"/>
          <w:lang w:val="en-US" w:eastAsia="zh-CN"/>
        </w:rPr>
        <w:t>专栏主动公开《乌鲁木齐市达坂城区核心区控制性详细规划提升及城市设计》《乌鲁木齐市达坂城区新型建筑产业园及建筑新材料产业园控制性详细规划》。</w:t>
      </w:r>
    </w:p>
    <w:p>
      <w:pPr>
        <w:pStyle w:val="3"/>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 xml:space="preserve">3. </w:t>
      </w:r>
      <w:r>
        <w:rPr>
          <w:rFonts w:hint="default" w:ascii="Times New Roman" w:hAnsi="Times New Roman" w:eastAsia="方正仿宋_GBK" w:cs="Times New Roman"/>
          <w:color w:val="000000"/>
          <w:sz w:val="32"/>
          <w:szCs w:val="32"/>
          <w:shd w:val="clear" w:color="auto" w:fill="FFFFFF"/>
          <w:lang w:val="en-US" w:eastAsia="zh-CN"/>
        </w:rPr>
        <w:t>在</w:t>
      </w:r>
      <w:r>
        <w:rPr>
          <w:rFonts w:hint="eastAsia" w:ascii="Times New Roman" w:hAnsi="Times New Roman" w:eastAsia="方正仿宋_GBK" w:cs="Times New Roman"/>
          <w:color w:val="000000"/>
          <w:sz w:val="32"/>
          <w:szCs w:val="32"/>
          <w:shd w:val="clear" w:color="auto" w:fill="FFFFFF"/>
          <w:lang w:val="en-US" w:eastAsia="zh-CN"/>
        </w:rPr>
        <w:t>区</w:t>
      </w:r>
      <w:r>
        <w:rPr>
          <w:rFonts w:hint="default" w:ascii="Times New Roman" w:hAnsi="Times New Roman" w:eastAsia="方正仿宋_GBK" w:cs="Times New Roman"/>
          <w:color w:val="000000"/>
          <w:sz w:val="32"/>
          <w:szCs w:val="32"/>
          <w:shd w:val="clear" w:color="auto" w:fill="FFFFFF"/>
          <w:lang w:val="en-US" w:eastAsia="zh-CN"/>
        </w:rPr>
        <w:t>人民政府</w:t>
      </w:r>
      <w:r>
        <w:rPr>
          <w:rFonts w:hint="eastAsia" w:ascii="Times New Roman" w:hAnsi="Times New Roman" w:eastAsia="方正仿宋_GBK" w:cs="Times New Roman"/>
          <w:color w:val="000000"/>
          <w:sz w:val="32"/>
          <w:szCs w:val="32"/>
          <w:shd w:val="clear" w:color="auto" w:fill="FFFFFF"/>
          <w:lang w:val="en-US" w:eastAsia="zh-CN"/>
        </w:rPr>
        <w:t>网站“</w:t>
      </w:r>
      <w:r>
        <w:rPr>
          <w:rFonts w:hint="default" w:ascii="Times New Roman" w:hAnsi="Times New Roman" w:eastAsia="方正仿宋_GBK" w:cs="Times New Roman"/>
          <w:color w:val="000000"/>
          <w:sz w:val="32"/>
          <w:szCs w:val="32"/>
          <w:shd w:val="clear" w:color="auto" w:fill="FFFFFF"/>
          <w:lang w:val="en-US" w:eastAsia="zh-CN"/>
        </w:rPr>
        <w:t>预决算</w:t>
      </w:r>
      <w:r>
        <w:rPr>
          <w:rFonts w:hint="eastAsia" w:ascii="Times New Roman" w:hAnsi="Times New Roman" w:eastAsia="方正仿宋_GBK" w:cs="Times New Roman"/>
          <w:color w:val="000000"/>
          <w:sz w:val="32"/>
          <w:szCs w:val="32"/>
          <w:shd w:val="clear" w:color="auto" w:fill="FFFFFF"/>
          <w:lang w:val="en-US" w:eastAsia="zh-CN"/>
        </w:rPr>
        <w:t>”</w:t>
      </w:r>
      <w:r>
        <w:rPr>
          <w:rFonts w:hint="default" w:ascii="Times New Roman" w:hAnsi="Times New Roman" w:eastAsia="方正仿宋_GBK" w:cs="Times New Roman"/>
          <w:color w:val="000000"/>
          <w:sz w:val="32"/>
          <w:szCs w:val="32"/>
          <w:shd w:val="clear" w:color="auto" w:fill="FFFFFF"/>
          <w:lang w:val="en-US" w:eastAsia="zh-CN"/>
        </w:rPr>
        <w:t>专栏中公开</w:t>
      </w:r>
      <w:r>
        <w:rPr>
          <w:rFonts w:hint="eastAsia" w:ascii="Times New Roman" w:hAnsi="Times New Roman" w:eastAsia="方正仿宋_GBK" w:cs="Times New Roman"/>
          <w:color w:val="000000"/>
          <w:sz w:val="32"/>
          <w:szCs w:val="32"/>
          <w:shd w:val="clear" w:color="auto" w:fill="FFFFFF"/>
          <w:lang w:eastAsia="zh-CN"/>
        </w:rPr>
        <w:t>《乌鲁木齐市达坂城区建设局2022年度部门预算公开》及《乌鲁木齐市达坂城区建设局（乌鲁木齐市达坂城区交通局、乌鲁木齐市达坂城区人民防空办公室）</w:t>
      </w:r>
      <w:r>
        <w:rPr>
          <w:rFonts w:hint="eastAsia" w:ascii="Times New Roman" w:hAnsi="Times New Roman" w:eastAsia="方正仿宋_GBK" w:cs="Times New Roman"/>
          <w:color w:val="000000"/>
          <w:sz w:val="32"/>
          <w:szCs w:val="32"/>
          <w:shd w:val="clear" w:color="auto" w:fill="FFFFFF"/>
          <w:lang w:val="en-US" w:eastAsia="zh-CN"/>
        </w:rPr>
        <w:t>2021年度部门决算公开说明</w:t>
      </w:r>
      <w:r>
        <w:rPr>
          <w:rFonts w:hint="eastAsia"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lang w:val="en-US" w:eastAsia="zh-CN"/>
        </w:rPr>
        <w:t>。</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ascii="Calibri" w:hAnsi="Calibri" w:cs="Calibri"/>
          <w:color w:val="333333"/>
          <w:sz w:val="21"/>
          <w:szCs w:val="21"/>
        </w:rPr>
      </w:pPr>
      <w:r>
        <w:rPr>
          <w:rFonts w:hint="eastAsia" w:ascii="方正楷体_GBK" w:hAnsi="方正楷体_GBK" w:eastAsia="方正楷体_GBK" w:cs="方正楷体_GBK"/>
          <w:color w:val="000000"/>
          <w:sz w:val="32"/>
          <w:szCs w:val="32"/>
          <w:shd w:val="clear" w:color="auto" w:fill="FFFFFF"/>
        </w:rPr>
        <w:t>（二）依申请公开情况</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2022年，我局未收到政府信息公开申请。</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ascii="Calibri" w:hAnsi="Calibri" w:cs="Calibri"/>
          <w:color w:val="333333"/>
          <w:sz w:val="21"/>
          <w:szCs w:val="21"/>
        </w:rPr>
      </w:pPr>
      <w:r>
        <w:rPr>
          <w:rFonts w:hint="eastAsia" w:ascii="方正仿宋_GBK" w:hAnsi="方正仿宋_GBK" w:eastAsia="方正仿宋_GBK" w:cs="方正仿宋_GBK"/>
          <w:color w:val="000000"/>
          <w:sz w:val="32"/>
          <w:szCs w:val="32"/>
          <w:shd w:val="clear" w:color="auto" w:fill="FFFFFF"/>
        </w:rPr>
        <w:t>（</w:t>
      </w:r>
      <w:r>
        <w:rPr>
          <w:rFonts w:hint="eastAsia" w:ascii="方正楷体_GBK" w:hAnsi="方正楷体_GBK" w:eastAsia="方正楷体_GBK" w:cs="方正楷体_GBK"/>
          <w:color w:val="000000"/>
          <w:sz w:val="32"/>
          <w:szCs w:val="32"/>
          <w:shd w:val="clear" w:color="auto" w:fill="FFFFFF"/>
        </w:rPr>
        <w:t>三）加强政府信息管理</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eastAsia" w:ascii="Times New Roman" w:hAnsi="Times New Roman" w:eastAsia="方正仿宋_GBK" w:cs="Times New Roman"/>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无</w:t>
      </w:r>
    </w:p>
    <w:p>
      <w:pPr>
        <w:pStyle w:val="3"/>
        <w:keepNext w:val="0"/>
        <w:keepLines w:val="0"/>
        <w:pageBreakBefore w:val="0"/>
        <w:widowControl/>
        <w:numPr>
          <w:ilvl w:val="0"/>
          <w:numId w:val="2"/>
        </w:numPr>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ascii="方正楷体_GBK" w:hAnsi="方正楷体_GBK" w:eastAsia="方正楷体_GBK" w:cs="方正楷体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政府信息平台建设</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eastAsia" w:ascii="Times New Roman" w:hAnsi="Times New Roman" w:eastAsia="方正仿宋_GBK" w:cs="Times New Roman"/>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无</w:t>
      </w:r>
    </w:p>
    <w:p>
      <w:pPr>
        <w:pStyle w:val="3"/>
        <w:keepNext w:val="0"/>
        <w:keepLines w:val="0"/>
        <w:pageBreakBefore w:val="0"/>
        <w:widowControl/>
        <w:numPr>
          <w:ilvl w:val="0"/>
          <w:numId w:val="3"/>
        </w:numPr>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ascii="方正楷体_GBK" w:hAnsi="方正楷体_GBK" w:eastAsia="方正楷体_GBK" w:cs="方正楷体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监督保障</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eastAsia" w:ascii="Times New Roman" w:hAnsi="Times New Roman" w:eastAsia="方正仿宋_GBK" w:cs="Times New Roman"/>
          <w:color w:val="000000"/>
          <w:sz w:val="32"/>
          <w:szCs w:val="32"/>
          <w:shd w:val="clear" w:color="auto" w:fill="FFFFFF"/>
          <w:lang w:eastAsia="zh-CN"/>
        </w:rPr>
      </w:pPr>
      <w:r>
        <w:rPr>
          <w:rFonts w:hint="eastAsia" w:ascii="Times New Roman" w:hAnsi="Times New Roman" w:eastAsia="方正仿宋_GBK" w:cs="Times New Roman"/>
          <w:color w:val="000000"/>
          <w:sz w:val="32"/>
          <w:szCs w:val="32"/>
          <w:shd w:val="clear" w:color="auto" w:fill="FFFFFF"/>
          <w:lang w:eastAsia="zh-CN"/>
        </w:rPr>
        <w:t>建立健全监督保障机制，将信息公开工作作为重要内容纳入绩效考核指标体系中，对局系统各部门进行考核，强化考核结果的运用，加强对局属各部门的指导。</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ascii="Calibri" w:hAnsi="Calibri" w:cs="Calibri"/>
          <w:color w:val="333333"/>
          <w:sz w:val="21"/>
          <w:szCs w:val="21"/>
        </w:rPr>
      </w:pPr>
      <w:r>
        <w:rPr>
          <w:rFonts w:hint="eastAsia" w:ascii="方正黑体_GBK" w:hAnsi="方正黑体_GBK" w:eastAsia="方正黑体_GBK" w:cs="方正黑体_GBK"/>
          <w:color w:val="000000"/>
          <w:sz w:val="32"/>
          <w:szCs w:val="32"/>
          <w:shd w:val="clear" w:color="auto" w:fill="FFFFFF"/>
        </w:rPr>
        <w:t>二、主动公开政府信息情况</w:t>
      </w:r>
    </w:p>
    <w:tbl>
      <w:tblPr>
        <w:tblStyle w:val="4"/>
        <w:tblW w:w="89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2481"/>
        <w:gridCol w:w="2362"/>
        <w:gridCol w:w="2297"/>
        <w:gridCol w:w="18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8969" w:type="dxa"/>
            <w:gridSpan w:val="4"/>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第二十条</w:t>
            </w:r>
            <w:r>
              <w:rPr>
                <w:rFonts w:ascii="Times New Roman" w:hAnsi="Times New Roman"/>
                <w:color w:val="000000"/>
                <w:sz w:val="30"/>
                <w:szCs w:val="30"/>
              </w:rPr>
              <w:t> </w:t>
            </w:r>
            <w:r>
              <w:rPr>
                <w:rFonts w:hint="eastAsia" w:ascii="方正仿宋_GBK" w:hAnsi="方正仿宋_GBK" w:eastAsia="方正仿宋_GBK" w:cs="方正仿宋_GBK"/>
                <w:color w:val="000000"/>
                <w:sz w:val="30"/>
                <w:szCs w:val="30"/>
              </w:rPr>
              <w:t>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2481"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信息内容</w:t>
            </w:r>
          </w:p>
        </w:tc>
        <w:tc>
          <w:tcPr>
            <w:tcW w:w="2362"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本年制发件数</w:t>
            </w:r>
          </w:p>
        </w:tc>
        <w:tc>
          <w:tcPr>
            <w:tcW w:w="2297"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本年废止件数</w:t>
            </w:r>
          </w:p>
        </w:tc>
        <w:tc>
          <w:tcPr>
            <w:tcW w:w="1829"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现行有效件数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2481"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规章</w:t>
            </w:r>
          </w:p>
        </w:tc>
        <w:tc>
          <w:tcPr>
            <w:tcW w:w="2362"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lang w:val="en-US" w:eastAsia="zh-CN"/>
              </w:rPr>
              <w:t>0</w:t>
            </w:r>
          </w:p>
        </w:tc>
        <w:tc>
          <w:tcPr>
            <w:tcW w:w="2297"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lang w:val="en-US" w:eastAsia="zh-CN"/>
              </w:rPr>
              <w:t>0</w:t>
            </w:r>
          </w:p>
        </w:tc>
        <w:tc>
          <w:tcPr>
            <w:tcW w:w="1829"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2481"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行政规范性文件</w:t>
            </w:r>
          </w:p>
        </w:tc>
        <w:tc>
          <w:tcPr>
            <w:tcW w:w="2362"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lang w:val="en-US" w:eastAsia="zh-CN"/>
              </w:rPr>
              <w:t>0</w:t>
            </w:r>
          </w:p>
        </w:tc>
        <w:tc>
          <w:tcPr>
            <w:tcW w:w="2297"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lang w:val="en-US" w:eastAsia="zh-CN"/>
              </w:rPr>
              <w:t>0</w:t>
            </w:r>
          </w:p>
        </w:tc>
        <w:tc>
          <w:tcPr>
            <w:tcW w:w="1829"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8969" w:type="dxa"/>
            <w:gridSpan w:val="4"/>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第二十条</w:t>
            </w:r>
            <w:r>
              <w:rPr>
                <w:rFonts w:ascii="Times New Roman" w:hAnsi="Times New Roman"/>
                <w:color w:val="000000"/>
                <w:sz w:val="30"/>
                <w:szCs w:val="30"/>
              </w:rPr>
              <w:t> </w:t>
            </w:r>
            <w:r>
              <w:rPr>
                <w:rFonts w:hint="eastAsia" w:ascii="方正仿宋_GBK" w:hAnsi="方正仿宋_GBK" w:eastAsia="方正仿宋_GBK" w:cs="方正仿宋_GBK"/>
                <w:color w:val="000000"/>
                <w:sz w:val="30"/>
                <w:szCs w:val="30"/>
              </w:rPr>
              <w:t>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2481"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信息内容</w:t>
            </w:r>
          </w:p>
        </w:tc>
        <w:tc>
          <w:tcPr>
            <w:tcW w:w="6488" w:type="dxa"/>
            <w:gridSpan w:val="3"/>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2481"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行政许可</w:t>
            </w:r>
          </w:p>
        </w:tc>
        <w:tc>
          <w:tcPr>
            <w:tcW w:w="6488" w:type="dxa"/>
            <w:gridSpan w:val="3"/>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hint="default" w:ascii="Calibri" w:hAnsi="Calibri" w:cs="Calibri" w:eastAsiaTheme="minorEastAsia"/>
                <w:color w:val="333333"/>
                <w:sz w:val="21"/>
                <w:szCs w:val="21"/>
                <w:lang w:val="en-US" w:eastAsia="zh-CN"/>
              </w:rPr>
            </w:pPr>
            <w:r>
              <w:rPr>
                <w:rFonts w:hint="eastAsia" w:ascii="Times New Roman" w:hAnsi="Times New Roman" w:eastAsia="方正仿宋_GBK" w:cs="Times New Roman"/>
                <w:color w:val="000000"/>
                <w:sz w:val="30"/>
                <w:szCs w:val="30"/>
                <w:lang w:val="en-US" w:eastAsia="zh-CN"/>
              </w:rPr>
              <w:t>0</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8969" w:type="dxa"/>
            <w:gridSpan w:val="4"/>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第二十条</w:t>
            </w:r>
            <w:r>
              <w:rPr>
                <w:rFonts w:ascii="Times New Roman" w:hAnsi="Times New Roman"/>
                <w:color w:val="000000"/>
                <w:sz w:val="30"/>
                <w:szCs w:val="30"/>
              </w:rPr>
              <w:t> </w:t>
            </w:r>
            <w:r>
              <w:rPr>
                <w:rFonts w:hint="eastAsia" w:ascii="方正仿宋_GBK" w:hAnsi="方正仿宋_GBK" w:eastAsia="方正仿宋_GBK" w:cs="方正仿宋_GBK"/>
                <w:color w:val="000000"/>
                <w:sz w:val="30"/>
                <w:szCs w:val="30"/>
              </w:rPr>
              <w:t>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2481"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信息内容</w:t>
            </w:r>
          </w:p>
        </w:tc>
        <w:tc>
          <w:tcPr>
            <w:tcW w:w="6488" w:type="dxa"/>
            <w:gridSpan w:val="3"/>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2481"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行政处罚</w:t>
            </w:r>
          </w:p>
        </w:tc>
        <w:tc>
          <w:tcPr>
            <w:tcW w:w="6488" w:type="dxa"/>
            <w:gridSpan w:val="3"/>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hint="eastAsia" w:ascii="Times New Roman" w:hAnsi="Times New Roman" w:eastAsia="方正仿宋_GBK" w:cs="Times New Roman"/>
                <w:color w:val="000000"/>
                <w:sz w:val="30"/>
                <w:szCs w:val="30"/>
                <w:lang w:val="en-US" w:eastAsia="zh-CN"/>
              </w:rPr>
            </w:pPr>
            <w:r>
              <w:rPr>
                <w:rFonts w:hint="eastAsia" w:ascii="Times New Roman" w:hAnsi="Times New Roman" w:eastAsia="方正仿宋_GBK" w:cs="Times New Roman"/>
                <w:color w:val="000000"/>
                <w:sz w:val="30"/>
                <w:szCs w:val="3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2481"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行政强制</w:t>
            </w:r>
          </w:p>
        </w:tc>
        <w:tc>
          <w:tcPr>
            <w:tcW w:w="6488" w:type="dxa"/>
            <w:gridSpan w:val="3"/>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hint="eastAsia" w:ascii="Times New Roman" w:hAnsi="Times New Roman" w:eastAsia="方正仿宋_GBK" w:cs="Times New Roman"/>
                <w:color w:val="000000"/>
                <w:sz w:val="30"/>
                <w:szCs w:val="30"/>
                <w:lang w:val="en-US" w:eastAsia="zh-CN"/>
              </w:rPr>
            </w:pPr>
            <w:r>
              <w:rPr>
                <w:rFonts w:hint="eastAsia" w:ascii="Times New Roman" w:hAnsi="Times New Roman" w:eastAsia="方正仿宋_GBK" w:cs="Times New Roman"/>
                <w:color w:val="000000"/>
                <w:sz w:val="30"/>
                <w:szCs w:val="3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8969" w:type="dxa"/>
            <w:gridSpan w:val="4"/>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第二十条</w:t>
            </w:r>
            <w:r>
              <w:rPr>
                <w:rFonts w:ascii="Times New Roman" w:hAnsi="Times New Roman"/>
                <w:color w:val="000000"/>
                <w:sz w:val="30"/>
                <w:szCs w:val="30"/>
              </w:rPr>
              <w:t> </w:t>
            </w:r>
            <w:r>
              <w:rPr>
                <w:rFonts w:hint="eastAsia" w:ascii="方正仿宋_GBK" w:hAnsi="方正仿宋_GBK" w:eastAsia="方正仿宋_GBK" w:cs="方正仿宋_GBK"/>
                <w:color w:val="000000"/>
                <w:sz w:val="30"/>
                <w:szCs w:val="30"/>
              </w:rPr>
              <w:t>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2481"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信息内容</w:t>
            </w:r>
          </w:p>
        </w:tc>
        <w:tc>
          <w:tcPr>
            <w:tcW w:w="6488" w:type="dxa"/>
            <w:gridSpan w:val="3"/>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本年收费金额（单位：万元）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2481" w:type="dxa"/>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0"/>
                <w:szCs w:val="30"/>
              </w:rPr>
              <w:t>行政事业性收费</w:t>
            </w:r>
          </w:p>
        </w:tc>
        <w:tc>
          <w:tcPr>
            <w:tcW w:w="6488" w:type="dxa"/>
            <w:gridSpan w:val="3"/>
            <w:tcBorders>
              <w:tl2br w:val="nil"/>
              <w:tr2bl w:val="nil"/>
            </w:tcBorders>
            <w:shd w:val="clear" w:color="auto" w:fill="auto"/>
            <w:tcMar>
              <w:top w:w="0" w:type="dxa"/>
              <w:left w:w="108" w:type="dxa"/>
              <w:bottom w:w="0" w:type="dxa"/>
              <w:right w:w="108" w:type="dxa"/>
            </w:tcMar>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eastAsia="方正仿宋_GBK"/>
                <w:color w:val="000000"/>
                <w:sz w:val="30"/>
                <w:szCs w:val="30"/>
              </w:rPr>
              <w:t>0</w:t>
            </w:r>
          </w:p>
        </w:tc>
      </w:tr>
    </w:tbl>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ascii="Calibri" w:hAnsi="Calibri" w:cs="Calibri"/>
          <w:color w:val="333333"/>
          <w:sz w:val="21"/>
          <w:szCs w:val="21"/>
        </w:rPr>
      </w:pPr>
      <w:r>
        <w:rPr>
          <w:rFonts w:hint="eastAsia" w:ascii="方正黑体_GBK" w:hAnsi="方正黑体_GBK" w:eastAsia="方正黑体_GBK" w:cs="方正黑体_GBK"/>
          <w:color w:val="000000"/>
          <w:sz w:val="32"/>
          <w:szCs w:val="32"/>
          <w:shd w:val="clear" w:color="auto" w:fill="FFFFFF"/>
        </w:rPr>
        <w:t>三、收到和处理政府信息公开申请情况</w:t>
      </w:r>
    </w:p>
    <w:tbl>
      <w:tblPr>
        <w:tblStyle w:val="4"/>
        <w:tblW w:w="878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15" w:type="dxa"/>
          <w:left w:w="15" w:type="dxa"/>
          <w:bottom w:w="15" w:type="dxa"/>
          <w:right w:w="15" w:type="dxa"/>
        </w:tblCellMar>
      </w:tblPr>
      <w:tblGrid>
        <w:gridCol w:w="771"/>
        <w:gridCol w:w="750"/>
        <w:gridCol w:w="3127"/>
        <w:gridCol w:w="398"/>
        <w:gridCol w:w="631"/>
        <w:gridCol w:w="596"/>
        <w:gridCol w:w="849"/>
        <w:gridCol w:w="813"/>
        <w:gridCol w:w="566"/>
        <w:gridCol w:w="2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4606" w:type="dxa"/>
            <w:gridSpan w:val="3"/>
            <w:vMerge w:val="restart"/>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hint="eastAsia" w:ascii="方正仿宋_GBK" w:hAnsi="方正仿宋_GBK" w:eastAsia="方正仿宋_GBK" w:cs="方正仿宋_GBK"/>
                <w:b/>
                <w:bCs/>
                <w:color w:val="000000"/>
              </w:rPr>
              <w:t>（本列数据的勾稽关系为：第一项加第二项之和，等于第三项加第四项之和）</w:t>
            </w:r>
          </w:p>
        </w:tc>
        <w:tc>
          <w:tcPr>
            <w:tcW w:w="4179" w:type="dxa"/>
            <w:gridSpan w:val="7"/>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b/>
                <w:bCs/>
                <w:color w:val="00000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4606" w:type="dxa"/>
            <w:gridSpan w:val="3"/>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400" w:type="dxa"/>
            <w:vMerge w:val="restart"/>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b/>
                <w:bCs/>
                <w:color w:val="000000"/>
              </w:rPr>
              <w:t>自然人</w:t>
            </w:r>
          </w:p>
        </w:tc>
        <w:tc>
          <w:tcPr>
            <w:tcW w:w="3495" w:type="dxa"/>
            <w:gridSpan w:val="5"/>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b/>
                <w:bCs/>
                <w:color w:val="000000"/>
              </w:rPr>
              <w:t>法人或其他组织</w:t>
            </w:r>
          </w:p>
        </w:tc>
        <w:tc>
          <w:tcPr>
            <w:tcW w:w="284" w:type="dxa"/>
            <w:vMerge w:val="restart"/>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b/>
                <w:bCs/>
                <w:color w:val="00000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4606" w:type="dxa"/>
            <w:gridSpan w:val="3"/>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400"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textAlignment w:val="center"/>
              <w:rPr>
                <w:rFonts w:ascii="Calibri" w:hAnsi="Calibri" w:cs="Calibri"/>
                <w:color w:val="333333"/>
                <w:sz w:val="21"/>
                <w:szCs w:val="21"/>
              </w:rPr>
            </w:pPr>
            <w:r>
              <w:rPr>
                <w:rFonts w:hint="eastAsia" w:ascii="方正仿宋_GBK" w:hAnsi="方正仿宋_GBK" w:eastAsia="方正仿宋_GBK" w:cs="方正仿宋_GBK"/>
                <w:color w:val="000000"/>
              </w:rPr>
              <w:t>商业企业</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textAlignment w:val="center"/>
              <w:rPr>
                <w:rFonts w:ascii="Calibri" w:hAnsi="Calibri" w:cs="Calibri"/>
                <w:color w:val="333333"/>
                <w:sz w:val="21"/>
                <w:szCs w:val="21"/>
              </w:rPr>
            </w:pPr>
            <w:r>
              <w:rPr>
                <w:rFonts w:hint="eastAsia" w:ascii="方正仿宋_GBK" w:hAnsi="方正仿宋_GBK" w:eastAsia="方正仿宋_GBK" w:cs="方正仿宋_GBK"/>
                <w:color w:val="000000"/>
              </w:rPr>
              <w:t>科研机构</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textAlignment w:val="center"/>
              <w:rPr>
                <w:rFonts w:ascii="Calibri" w:hAnsi="Calibri" w:cs="Calibri"/>
                <w:color w:val="333333"/>
                <w:sz w:val="21"/>
                <w:szCs w:val="21"/>
              </w:rPr>
            </w:pPr>
            <w:r>
              <w:rPr>
                <w:rFonts w:hint="eastAsia" w:ascii="方正仿宋_GBK" w:hAnsi="方正仿宋_GBK" w:eastAsia="方正仿宋_GBK" w:cs="方正仿宋_GBK"/>
                <w:color w:val="000000"/>
              </w:rPr>
              <w:t>社会公益组织</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textAlignment w:val="center"/>
              <w:rPr>
                <w:rFonts w:ascii="Calibri" w:hAnsi="Calibri" w:cs="Calibri"/>
                <w:color w:val="333333"/>
                <w:sz w:val="21"/>
                <w:szCs w:val="21"/>
              </w:rPr>
            </w:pPr>
            <w:r>
              <w:rPr>
                <w:rFonts w:hint="eastAsia" w:ascii="方正仿宋_GBK" w:hAnsi="方正仿宋_GBK" w:eastAsia="方正仿宋_GBK" w:cs="方正仿宋_GBK"/>
                <w:color w:val="000000"/>
              </w:rPr>
              <w:t>法律服务机构</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textAlignment w:val="center"/>
              <w:rPr>
                <w:rFonts w:ascii="Calibri" w:hAnsi="Calibri" w:cs="Calibri"/>
                <w:color w:val="333333"/>
                <w:sz w:val="21"/>
                <w:szCs w:val="21"/>
              </w:rPr>
            </w:pPr>
            <w:r>
              <w:rPr>
                <w:rFonts w:hint="eastAsia" w:ascii="方正仿宋_GBK" w:hAnsi="方正仿宋_GBK" w:eastAsia="方正仿宋_GBK" w:cs="方正仿宋_GBK"/>
                <w:color w:val="000000"/>
              </w:rPr>
              <w:t>其他</w:t>
            </w:r>
          </w:p>
        </w:tc>
        <w:tc>
          <w:tcPr>
            <w:tcW w:w="284"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4606" w:type="dxa"/>
            <w:gridSpan w:val="3"/>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hint="eastAsia" w:ascii="方正仿宋_GBK" w:hAnsi="方正仿宋_GBK" w:eastAsia="方正仿宋_GBK" w:cs="方正仿宋_GBK"/>
                <w:color w:val="000000"/>
              </w:rPr>
              <w:t>一、本年新收政府信息公开申请数量</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eastAsia="方正仿宋_GBK"/>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eastAsia="方正仿宋_GBK"/>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4606" w:type="dxa"/>
            <w:gridSpan w:val="3"/>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hint="eastAsia" w:ascii="方正仿宋_GBK" w:hAnsi="方正仿宋_GBK" w:eastAsia="方正仿宋_GBK" w:cs="方正仿宋_GBK"/>
                <w:color w:val="000000"/>
              </w:rPr>
              <w:t>二、上年结转政府信息公开申请数</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restart"/>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textAlignment w:val="center"/>
              <w:rPr>
                <w:rFonts w:ascii="Calibri" w:hAnsi="Calibri" w:cs="Calibri"/>
                <w:color w:val="333333"/>
                <w:sz w:val="21"/>
                <w:szCs w:val="21"/>
              </w:rPr>
            </w:pPr>
            <w:r>
              <w:rPr>
                <w:rFonts w:hint="eastAsia" w:ascii="方正仿宋_GBK" w:hAnsi="方正仿宋_GBK" w:eastAsia="方正仿宋_GBK" w:cs="方正仿宋_GBK"/>
                <w:color w:val="000000"/>
              </w:rPr>
              <w:t>三、本年度办理结果</w:t>
            </w:r>
          </w:p>
        </w:tc>
        <w:tc>
          <w:tcPr>
            <w:tcW w:w="3829" w:type="dxa"/>
            <w:gridSpan w:val="2"/>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hint="eastAsia" w:ascii="方正仿宋_GBK" w:hAnsi="方正仿宋_GBK" w:eastAsia="方正仿宋_GBK" w:cs="方正仿宋_GBK"/>
                <w:color w:val="000000"/>
              </w:rPr>
              <w:t>（一）予以公开</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eastAsia="方正仿宋_GBK"/>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829" w:type="dxa"/>
            <w:gridSpan w:val="2"/>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hint="eastAsia" w:ascii="方正仿宋_GBK" w:hAnsi="方正仿宋_GBK" w:eastAsia="方正仿宋_GBK" w:cs="方正仿宋_GBK"/>
                <w:color w:val="000000"/>
              </w:rPr>
              <w:t>（二）部分公开（区分处理的，只计这一情形，不计其他情形）</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restart"/>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textAlignment w:val="center"/>
              <w:rPr>
                <w:rFonts w:ascii="Calibri" w:hAnsi="Calibri" w:cs="Calibri"/>
                <w:color w:val="333333"/>
                <w:sz w:val="21"/>
                <w:szCs w:val="21"/>
              </w:rPr>
            </w:pPr>
            <w:r>
              <w:rPr>
                <w:rFonts w:hint="eastAsia" w:ascii="方正仿宋_GBK" w:hAnsi="方正仿宋_GBK" w:eastAsia="方正仿宋_GBK" w:cs="方正仿宋_GBK"/>
                <w:color w:val="000000"/>
              </w:rPr>
              <w:t>（三）不予公开</w:t>
            </w: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1.</w:t>
            </w:r>
            <w:r>
              <w:rPr>
                <w:rFonts w:hint="eastAsia" w:ascii="方正仿宋_GBK" w:hAnsi="方正仿宋_GBK" w:eastAsia="方正仿宋_GBK" w:cs="方正仿宋_GBK"/>
                <w:color w:val="000000"/>
              </w:rPr>
              <w:t>属于国家秘密</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2.</w:t>
            </w:r>
            <w:r>
              <w:rPr>
                <w:rFonts w:hint="eastAsia" w:ascii="方正仿宋_GBK" w:hAnsi="方正仿宋_GBK" w:eastAsia="方正仿宋_GBK" w:cs="方正仿宋_GBK"/>
                <w:color w:val="000000"/>
              </w:rPr>
              <w:t>其他法律行政法规禁止公开</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3.</w:t>
            </w:r>
            <w:r>
              <w:rPr>
                <w:rFonts w:hint="eastAsia" w:ascii="方正仿宋_GBK" w:hAnsi="方正仿宋_GBK" w:eastAsia="方正仿宋_GBK" w:cs="方正仿宋_GBK"/>
                <w:color w:val="000000"/>
              </w:rPr>
              <w:t>危及“三安全一稳定”</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4.</w:t>
            </w:r>
            <w:r>
              <w:rPr>
                <w:rFonts w:hint="eastAsia" w:ascii="方正仿宋_GBK" w:hAnsi="方正仿宋_GBK" w:eastAsia="方正仿宋_GBK" w:cs="方正仿宋_GBK"/>
                <w:color w:val="000000"/>
              </w:rPr>
              <w:t>保护第三方合法权益</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5.</w:t>
            </w:r>
            <w:r>
              <w:rPr>
                <w:rFonts w:hint="eastAsia" w:ascii="方正仿宋_GBK" w:hAnsi="方正仿宋_GBK" w:eastAsia="方正仿宋_GBK" w:cs="方正仿宋_GBK"/>
                <w:color w:val="000000"/>
              </w:rPr>
              <w:t>属于三类内部事务信息</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6.</w:t>
            </w:r>
            <w:r>
              <w:rPr>
                <w:rFonts w:hint="eastAsia" w:ascii="方正仿宋_GBK" w:hAnsi="方正仿宋_GBK" w:eastAsia="方正仿宋_GBK" w:cs="方正仿宋_GBK"/>
                <w:color w:val="000000"/>
              </w:rPr>
              <w:t>属于四类过程性信息</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7.</w:t>
            </w:r>
            <w:r>
              <w:rPr>
                <w:rFonts w:hint="eastAsia" w:ascii="方正仿宋_GBK" w:hAnsi="方正仿宋_GBK" w:eastAsia="方正仿宋_GBK" w:cs="方正仿宋_GBK"/>
                <w:color w:val="000000"/>
              </w:rPr>
              <w:t>属于行政执法案卷</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8.</w:t>
            </w:r>
            <w:r>
              <w:rPr>
                <w:rFonts w:hint="eastAsia" w:ascii="方正仿宋_GBK" w:hAnsi="方正仿宋_GBK" w:eastAsia="方正仿宋_GBK" w:cs="方正仿宋_GBK"/>
                <w:color w:val="000000"/>
              </w:rPr>
              <w:t>属于行政查询事项</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restart"/>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textAlignment w:val="center"/>
              <w:rPr>
                <w:rFonts w:ascii="Calibri" w:hAnsi="Calibri" w:cs="Calibri"/>
                <w:color w:val="333333"/>
                <w:sz w:val="21"/>
                <w:szCs w:val="21"/>
              </w:rPr>
            </w:pPr>
            <w:r>
              <w:rPr>
                <w:rFonts w:hint="eastAsia" w:ascii="方正仿宋_GBK" w:hAnsi="方正仿宋_GBK" w:eastAsia="方正仿宋_GBK" w:cs="方正仿宋_GBK"/>
                <w:color w:val="000000"/>
              </w:rPr>
              <w:t>（四）无法提供</w:t>
            </w: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1.</w:t>
            </w:r>
            <w:r>
              <w:rPr>
                <w:rFonts w:hint="eastAsia" w:ascii="方正仿宋_GBK" w:hAnsi="方正仿宋_GBK" w:eastAsia="方正仿宋_GBK" w:cs="方正仿宋_GBK"/>
                <w:color w:val="000000"/>
              </w:rPr>
              <w:t>本机关不掌握相关政府信息</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2.</w:t>
            </w:r>
            <w:r>
              <w:rPr>
                <w:rFonts w:hint="eastAsia" w:ascii="方正仿宋_GBK" w:hAnsi="方正仿宋_GBK" w:eastAsia="方正仿宋_GBK" w:cs="方正仿宋_GBK"/>
                <w:color w:val="000000"/>
              </w:rPr>
              <w:t>没有现成信息需要另行制作</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3.</w:t>
            </w:r>
            <w:r>
              <w:rPr>
                <w:rFonts w:hint="eastAsia" w:ascii="方正仿宋_GBK" w:hAnsi="方正仿宋_GBK" w:eastAsia="方正仿宋_GBK" w:cs="方正仿宋_GBK"/>
                <w:color w:val="000000"/>
              </w:rPr>
              <w:t>补正后申请内容仍不明确</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restart"/>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textAlignment w:val="center"/>
              <w:rPr>
                <w:rFonts w:ascii="Calibri" w:hAnsi="Calibri" w:cs="Calibri"/>
                <w:color w:val="333333"/>
                <w:sz w:val="21"/>
                <w:szCs w:val="21"/>
              </w:rPr>
            </w:pPr>
            <w:r>
              <w:rPr>
                <w:rFonts w:hint="eastAsia" w:ascii="方正仿宋_GBK" w:hAnsi="方正仿宋_GBK" w:eastAsia="方正仿宋_GBK" w:cs="方正仿宋_GBK"/>
                <w:color w:val="000000"/>
              </w:rPr>
              <w:t>（五）不予处理</w:t>
            </w: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1.</w:t>
            </w:r>
            <w:r>
              <w:rPr>
                <w:rFonts w:hint="eastAsia" w:ascii="方正仿宋_GBK" w:hAnsi="方正仿宋_GBK" w:eastAsia="方正仿宋_GBK" w:cs="方正仿宋_GBK"/>
                <w:color w:val="000000"/>
              </w:rPr>
              <w:t>信访举报投诉类申请</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2.</w:t>
            </w:r>
            <w:r>
              <w:rPr>
                <w:rFonts w:hint="eastAsia" w:ascii="方正仿宋_GBK" w:hAnsi="方正仿宋_GBK" w:eastAsia="方正仿宋_GBK" w:cs="方正仿宋_GBK"/>
                <w:color w:val="000000"/>
              </w:rPr>
              <w:t>重复申请</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3.</w:t>
            </w:r>
            <w:r>
              <w:rPr>
                <w:rFonts w:hint="eastAsia" w:ascii="方正仿宋_GBK" w:hAnsi="方正仿宋_GBK" w:eastAsia="方正仿宋_GBK" w:cs="方正仿宋_GBK"/>
                <w:color w:val="000000"/>
              </w:rPr>
              <w:t>要求提供公开出版物</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4.</w:t>
            </w:r>
            <w:r>
              <w:rPr>
                <w:rFonts w:hint="eastAsia" w:ascii="方正仿宋_GBK" w:hAnsi="方正仿宋_GBK" w:eastAsia="方正仿宋_GBK" w:cs="方正仿宋_GBK"/>
                <w:color w:val="000000"/>
              </w:rPr>
              <w:t>无正当理由大量反复申请</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306"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rPr>
                <w:rFonts w:ascii="Calibri" w:hAnsi="Calibri" w:cs="Calibri"/>
                <w:color w:val="333333"/>
                <w:sz w:val="21"/>
                <w:szCs w:val="21"/>
              </w:rPr>
            </w:pPr>
            <w:r>
              <w:rPr>
                <w:rFonts w:ascii="Times New Roman" w:hAnsi="Times New Roman"/>
                <w:color w:val="000000"/>
              </w:rPr>
              <w:t>5.</w:t>
            </w:r>
            <w:r>
              <w:rPr>
                <w:rFonts w:hint="eastAsia" w:ascii="方正仿宋_GBK" w:hAnsi="方正仿宋_GBK" w:eastAsia="方正仿宋_GBK" w:cs="方正仿宋_GBK"/>
                <w:color w:val="000000"/>
              </w:rPr>
              <w:t>要求行政机关确认或重新出具已获取信息</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restart"/>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（六）其他处理</w:t>
            </w: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1.</w:t>
            </w:r>
            <w:r>
              <w:rPr>
                <w:rFonts w:hint="eastAsia" w:ascii="方正仿宋_GBK" w:hAnsi="方正仿宋_GBK" w:eastAsia="方正仿宋_GBK" w:cs="方正仿宋_GBK"/>
                <w:color w:val="000000"/>
              </w:rPr>
              <w:t>申请人无正当理由逾期不补正、行政机关不再处理其政府信息公开申请</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2.</w:t>
            </w:r>
            <w:r>
              <w:rPr>
                <w:rFonts w:hint="eastAsia" w:ascii="方正仿宋_GBK" w:hAnsi="方正仿宋_GBK" w:eastAsia="方正仿宋_GBK" w:cs="方正仿宋_GBK"/>
                <w:color w:val="000000"/>
              </w:rPr>
              <w:t>申请人逾期未按收费通知要求缴纳费用、行政机关不再处理其政府信息公开申请</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51"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17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ascii="Times New Roman" w:hAnsi="Times New Roman"/>
                <w:color w:val="000000"/>
              </w:rPr>
              <w:t>3.</w:t>
            </w:r>
            <w:r>
              <w:rPr>
                <w:rFonts w:hint="eastAsia" w:ascii="方正仿宋_GBK" w:hAnsi="方正仿宋_GBK" w:eastAsia="方正仿宋_GBK" w:cs="方正仿宋_GBK"/>
                <w:color w:val="000000"/>
              </w:rPr>
              <w:t>其他</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ascii="Times New Roman" w:hAnsi="Times New Roman"/>
                <w:color w:val="00000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777" w:type="dxa"/>
            <w:vMerge w:val="continue"/>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3829" w:type="dxa"/>
            <w:gridSpan w:val="2"/>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hint="eastAsia" w:ascii="方正仿宋_GBK" w:hAnsi="方正仿宋_GBK" w:eastAsia="方正仿宋_GBK" w:cs="方正仿宋_GBK"/>
                <w:color w:val="000000"/>
              </w:rPr>
              <w:t>（七）总计</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atLeast"/>
          <w:jc w:val="center"/>
        </w:trPr>
        <w:tc>
          <w:tcPr>
            <w:tcW w:w="4606" w:type="dxa"/>
            <w:gridSpan w:val="3"/>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both"/>
              <w:textAlignment w:val="center"/>
              <w:rPr>
                <w:rFonts w:ascii="Calibri" w:hAnsi="Calibri" w:cs="Calibri"/>
                <w:color w:val="333333"/>
                <w:sz w:val="21"/>
                <w:szCs w:val="21"/>
              </w:rPr>
            </w:pPr>
            <w:r>
              <w:rPr>
                <w:rFonts w:hint="eastAsia" w:ascii="方正仿宋_GBK" w:hAnsi="方正仿宋_GBK" w:eastAsia="方正仿宋_GBK" w:cs="方正仿宋_GBK"/>
                <w:color w:val="000000"/>
              </w:rPr>
              <w:t>四、结转下年度继续办理</w:t>
            </w:r>
          </w:p>
        </w:tc>
        <w:tc>
          <w:tcPr>
            <w:tcW w:w="40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38"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60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60"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823"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72"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284" w:type="dxa"/>
            <w:tcBorders>
              <w:tl2br w:val="nil"/>
              <w:tr2bl w:val="nil"/>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r>
    </w:tbl>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rPr>
          <w:rFonts w:ascii="Calibri" w:hAnsi="Calibri" w:cs="Calibri"/>
          <w:color w:val="333333"/>
          <w:sz w:val="21"/>
          <w:szCs w:val="21"/>
        </w:rPr>
      </w:pPr>
      <w:r>
        <w:rPr>
          <w:rFonts w:hint="eastAsia" w:ascii="方正黑体_GBK" w:hAnsi="方正黑体_GBK" w:eastAsia="方正黑体_GBK" w:cs="方正黑体_GBK"/>
          <w:color w:val="000000"/>
          <w:sz w:val="32"/>
          <w:szCs w:val="32"/>
          <w:shd w:val="clear" w:color="auto" w:fill="FFFFFF"/>
        </w:rPr>
        <w:t>四、政府信息公开行政复议、行政诉讼情况</w:t>
      </w:r>
    </w:p>
    <w:tbl>
      <w:tblPr>
        <w:tblStyle w:val="4"/>
        <w:tblW w:w="878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36"/>
        <w:gridCol w:w="615"/>
        <w:gridCol w:w="631"/>
        <w:gridCol w:w="647"/>
        <w:gridCol w:w="726"/>
        <w:gridCol w:w="581"/>
        <w:gridCol w:w="580"/>
        <w:gridCol w:w="581"/>
        <w:gridCol w:w="581"/>
        <w:gridCol w:w="582"/>
        <w:gridCol w:w="580"/>
        <w:gridCol w:w="580"/>
        <w:gridCol w:w="583"/>
        <w:gridCol w:w="581"/>
        <w:gridCol w:w="3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9" w:hRule="atLeast"/>
          <w:jc w:val="center"/>
        </w:trPr>
        <w:tc>
          <w:tcPr>
            <w:tcW w:w="325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行政复议</w:t>
            </w:r>
          </w:p>
        </w:tc>
        <w:tc>
          <w:tcPr>
            <w:tcW w:w="5530" w:type="dxa"/>
            <w:gridSpan w:val="10"/>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4" w:hRule="atLeast"/>
          <w:jc w:val="center"/>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结果维持</w:t>
            </w:r>
          </w:p>
        </w:tc>
        <w:tc>
          <w:tcPr>
            <w:tcW w:w="615" w:type="dxa"/>
            <w:vMerge w:val="restart"/>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结果纠正</w:t>
            </w:r>
          </w:p>
        </w:tc>
        <w:tc>
          <w:tcPr>
            <w:tcW w:w="631" w:type="dxa"/>
            <w:vMerge w:val="restart"/>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其他结果</w:t>
            </w:r>
          </w:p>
        </w:tc>
        <w:tc>
          <w:tcPr>
            <w:tcW w:w="647" w:type="dxa"/>
            <w:vMerge w:val="restart"/>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尚未审结</w:t>
            </w:r>
          </w:p>
        </w:tc>
        <w:tc>
          <w:tcPr>
            <w:tcW w:w="726" w:type="dxa"/>
            <w:vMerge w:val="restart"/>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总计</w:t>
            </w:r>
          </w:p>
        </w:tc>
        <w:tc>
          <w:tcPr>
            <w:tcW w:w="2905" w:type="dxa"/>
            <w:gridSpan w:val="5"/>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未经复议直接起诉</w:t>
            </w:r>
          </w:p>
        </w:tc>
        <w:tc>
          <w:tcPr>
            <w:tcW w:w="2625" w:type="dxa"/>
            <w:gridSpan w:val="5"/>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0" w:hRule="atLeast"/>
          <w:jc w:val="center"/>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1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31"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647"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726"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576" w:lineRule="exact"/>
              <w:rPr>
                <w:rFonts w:ascii="Times New Roman" w:hAnsi="Times New Roman" w:cs="Times New Roman"/>
                <w:sz w:val="20"/>
                <w:szCs w:val="20"/>
              </w:rPr>
            </w:pPr>
          </w:p>
        </w:tc>
        <w:tc>
          <w:tcPr>
            <w:tcW w:w="581"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结果维持</w:t>
            </w:r>
          </w:p>
        </w:tc>
        <w:tc>
          <w:tcPr>
            <w:tcW w:w="580"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结果纠正</w:t>
            </w:r>
          </w:p>
        </w:tc>
        <w:tc>
          <w:tcPr>
            <w:tcW w:w="581"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其他结果</w:t>
            </w:r>
          </w:p>
        </w:tc>
        <w:tc>
          <w:tcPr>
            <w:tcW w:w="581"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尚未审结</w:t>
            </w:r>
          </w:p>
        </w:tc>
        <w:tc>
          <w:tcPr>
            <w:tcW w:w="582"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总计</w:t>
            </w:r>
          </w:p>
        </w:tc>
        <w:tc>
          <w:tcPr>
            <w:tcW w:w="580"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结果维持</w:t>
            </w:r>
          </w:p>
        </w:tc>
        <w:tc>
          <w:tcPr>
            <w:tcW w:w="580"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结果纠正</w:t>
            </w:r>
          </w:p>
        </w:tc>
        <w:tc>
          <w:tcPr>
            <w:tcW w:w="583"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其他结果</w:t>
            </w:r>
          </w:p>
        </w:tc>
        <w:tc>
          <w:tcPr>
            <w:tcW w:w="581"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尚未审结</w:t>
            </w:r>
          </w:p>
        </w:tc>
        <w:tc>
          <w:tcPr>
            <w:tcW w:w="301"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textAlignment w:val="center"/>
              <w:rPr>
                <w:rFonts w:ascii="Calibri" w:hAnsi="Calibri" w:cs="Calibri"/>
                <w:color w:val="333333"/>
                <w:sz w:val="21"/>
                <w:szCs w:val="21"/>
              </w:rPr>
            </w:pPr>
            <w:r>
              <w:rPr>
                <w:rFonts w:hint="eastAsia" w:ascii="方正仿宋_GBK" w:hAnsi="方正仿宋_GBK" w:eastAsia="方正仿宋_GBK" w:cs="方正仿宋_GBK"/>
                <w:color w:val="00000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636"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615"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631"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647"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726"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581"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580"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581"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581"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582"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580"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580"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Times New Roman" w:hAnsi="Times New Roman"/>
                <w:color w:val="000000"/>
              </w:rPr>
              <w:t>0</w:t>
            </w:r>
          </w:p>
        </w:tc>
        <w:tc>
          <w:tcPr>
            <w:tcW w:w="583"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581"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c>
          <w:tcPr>
            <w:tcW w:w="301" w:type="dxa"/>
            <w:tcBorders>
              <w:top w:val="nil"/>
              <w:left w:val="nil"/>
              <w:bottom w:val="single" w:color="000000" w:sz="8" w:space="0"/>
              <w:right w:val="single" w:color="000000" w:sz="8" w:space="0"/>
            </w:tcBorders>
            <w:shd w:val="clear" w:color="auto" w:fill="auto"/>
            <w:vAlign w:val="center"/>
          </w:tcPr>
          <w:p>
            <w:pPr>
              <w:pStyle w:val="3"/>
              <w:keepNext w:val="0"/>
              <w:keepLines w:val="0"/>
              <w:pageBreakBefore w:val="0"/>
              <w:widowControl/>
              <w:shd w:val="clear"/>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ascii="Calibri" w:hAnsi="Calibri" w:eastAsia="宋体" w:cs="Calibri"/>
                <w:color w:val="000000"/>
                <w:sz w:val="21"/>
                <w:szCs w:val="21"/>
              </w:rPr>
              <w:t>0</w:t>
            </w:r>
          </w:p>
        </w:tc>
      </w:tr>
    </w:tbl>
    <w:p>
      <w:pPr>
        <w:pStyle w:val="3"/>
        <w:keepNext w:val="0"/>
        <w:keepLines w:val="0"/>
        <w:pageBreakBefore w:val="0"/>
        <w:widowControl/>
        <w:numPr>
          <w:ilvl w:val="0"/>
          <w:numId w:val="4"/>
        </w:numPr>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color w:val="000000"/>
          <w:sz w:val="32"/>
          <w:szCs w:val="32"/>
          <w:shd w:val="clear" w:color="auto" w:fill="FFFFFF"/>
        </w:rPr>
        <w:t>存在问题及改进情况</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eastAsia" w:ascii="方正黑体_GBK" w:hAnsi="方正黑体_GBK" w:eastAsia="方正黑体_GBK" w:cs="方正黑体_GBK"/>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2022年，我局政府信息公开工作虽然取得一定成效，但与我</w:t>
      </w:r>
      <w:r>
        <w:rPr>
          <w:rFonts w:hint="default" w:ascii="Times New Roman" w:hAnsi="Times New Roman" w:eastAsia="方正仿宋_GBK" w:cs="Times New Roman"/>
          <w:color w:val="000000"/>
          <w:sz w:val="32"/>
          <w:szCs w:val="32"/>
          <w:shd w:val="clear" w:color="auto" w:fill="FFFFFF"/>
          <w:lang w:eastAsia="zh-CN"/>
        </w:rPr>
        <w:t>区</w:t>
      </w:r>
      <w:r>
        <w:rPr>
          <w:rFonts w:hint="default" w:ascii="Times New Roman" w:hAnsi="Times New Roman" w:eastAsia="方正仿宋_GBK" w:cs="Times New Roman"/>
          <w:color w:val="000000"/>
          <w:sz w:val="32"/>
          <w:szCs w:val="32"/>
          <w:shd w:val="clear" w:color="auto" w:fill="FFFFFF"/>
        </w:rPr>
        <w:t>信息公开工作要求相比还存在一些不足，主要表现在</w:t>
      </w:r>
      <w:r>
        <w:rPr>
          <w:rFonts w:hint="eastAsia"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工作人员对政务信息公开工作的认知水平有待进一步提高，办理依申请公开政府信息工作的程序和分工有待进一步细化。在今后的工作中，我局将从两方面强化政府信息公开工作</w:t>
      </w:r>
      <w:r>
        <w:rPr>
          <w:rFonts w:hint="eastAsia"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b/>
          <w:bCs/>
          <w:color w:val="000000"/>
          <w:sz w:val="32"/>
          <w:szCs w:val="32"/>
          <w:shd w:val="clear" w:color="auto" w:fill="FFFFFF"/>
        </w:rPr>
        <w:t>一是</w:t>
      </w:r>
      <w:r>
        <w:rPr>
          <w:rFonts w:hint="default" w:ascii="Times New Roman" w:hAnsi="Times New Roman" w:eastAsia="方正仿宋_GBK" w:cs="Times New Roman"/>
          <w:color w:val="000000"/>
          <w:sz w:val="32"/>
          <w:szCs w:val="32"/>
          <w:shd w:val="clear" w:color="auto" w:fill="FFFFFF"/>
        </w:rPr>
        <w:t>加大对政府信息公开工作的宣传和培训力度，组织开展《政府信息公开条例》、相关政策法规、案例、业务操作等内容的学习，全面提升工作人员开展政府信息公开工作的认知能力和业务水平。</w:t>
      </w:r>
      <w:r>
        <w:rPr>
          <w:rFonts w:hint="default" w:ascii="Times New Roman" w:hAnsi="Times New Roman" w:eastAsia="方正仿宋_GBK" w:cs="Times New Roman"/>
          <w:b/>
          <w:bCs/>
          <w:color w:val="000000"/>
          <w:sz w:val="32"/>
          <w:szCs w:val="32"/>
          <w:shd w:val="clear" w:color="auto" w:fill="FFFFFF"/>
        </w:rPr>
        <w:t>二是</w:t>
      </w:r>
      <w:r>
        <w:rPr>
          <w:rFonts w:hint="default" w:ascii="Times New Roman" w:hAnsi="Times New Roman" w:eastAsia="方正仿宋_GBK" w:cs="Times New Roman"/>
          <w:color w:val="000000"/>
          <w:sz w:val="32"/>
          <w:szCs w:val="32"/>
          <w:shd w:val="clear" w:color="auto" w:fill="FFFFFF"/>
        </w:rPr>
        <w:t>进一步健全和完善政府信息公开制度，细化工作流程，明确工作责任，确保政府信息及时、准确、规范公开。</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ascii="Calibri" w:hAnsi="Calibri" w:cs="Calibri"/>
          <w:color w:val="333333"/>
          <w:sz w:val="21"/>
          <w:szCs w:val="21"/>
        </w:rPr>
      </w:pPr>
      <w:r>
        <w:rPr>
          <w:rFonts w:hint="eastAsia" w:ascii="方正黑体_GBK" w:hAnsi="方正黑体_GBK" w:eastAsia="方正黑体_GBK" w:cs="方正黑体_GBK"/>
          <w:color w:val="000000"/>
          <w:sz w:val="32"/>
          <w:szCs w:val="32"/>
          <w:shd w:val="clear" w:color="auto" w:fill="FFFFFF"/>
        </w:rPr>
        <w:t>六、其他需要报告的事项</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rPr>
        <w:t>根据《政府信息公开信息处理费管理办法》规定的收取信息处理费标准，本年度未产生信息公开处理费。</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jc w:val="both"/>
        <w:textAlignment w:val="auto"/>
        <w:rPr>
          <w:rFonts w:ascii="Calibri" w:hAnsi="Calibri" w:cs="Calibri"/>
          <w:color w:val="333333"/>
          <w:sz w:val="21"/>
          <w:szCs w:val="21"/>
        </w:rPr>
      </w:pPr>
      <w:r>
        <w:rPr>
          <w:rFonts w:ascii="Calibri" w:hAnsi="Calibri" w:cs="Calibri"/>
          <w:color w:val="333333"/>
          <w:sz w:val="21"/>
          <w:szCs w:val="21"/>
          <w:shd w:val="clear" w:color="auto" w:fill="FFFFFF"/>
        </w:rPr>
        <w:t> </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rPr>
          <w:rFonts w:ascii="Calibri" w:hAnsi="Calibri" w:cs="Calibri"/>
          <w:color w:val="333333"/>
          <w:sz w:val="21"/>
          <w:szCs w:val="21"/>
        </w:rPr>
      </w:pPr>
      <w:r>
        <w:rPr>
          <w:rFonts w:ascii="Calibri" w:hAnsi="Calibri" w:cs="Calibri"/>
          <w:color w:val="333333"/>
          <w:sz w:val="21"/>
          <w:szCs w:val="21"/>
          <w:shd w:val="clear" w:color="auto" w:fill="FFFFFF"/>
        </w:rPr>
        <w:t> </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jc w:val="center"/>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lang w:val="en-US" w:eastAsia="zh-CN"/>
        </w:rPr>
        <w:t xml:space="preserve">        </w:t>
      </w:r>
      <w:r>
        <w:rPr>
          <w:rFonts w:hint="eastAsia" w:ascii="方正仿宋_GBK" w:hAnsi="方正仿宋_GBK" w:eastAsia="方正仿宋_GBK" w:cs="方正仿宋_GBK"/>
          <w:color w:val="000000"/>
          <w:sz w:val="32"/>
          <w:szCs w:val="32"/>
          <w:shd w:val="clear" w:color="auto" w:fill="FFFFFF"/>
          <w:lang w:eastAsia="zh-CN"/>
        </w:rPr>
        <w:t>达坂城区建设局（交通局、人防办）</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jc w:val="center"/>
        <w:rPr>
          <w:rFonts w:ascii="Calibri" w:hAnsi="Calibri" w:cs="Calibri"/>
          <w:color w:val="333333"/>
          <w:sz w:val="21"/>
          <w:szCs w:val="21"/>
        </w:rPr>
      </w:pPr>
      <w:r>
        <w:rPr>
          <w:rFonts w:hint="eastAsia" w:ascii="方正仿宋_GBK" w:hAnsi="方正仿宋_GBK" w:eastAsia="方正仿宋_GBK" w:cs="方正仿宋_GBK"/>
          <w:color w:val="000000"/>
          <w:sz w:val="32"/>
          <w:szCs w:val="32"/>
          <w:shd w:val="clear" w:color="auto" w:fill="FFFFFF"/>
          <w:lang w:val="en-US" w:eastAsia="zh-CN"/>
        </w:rPr>
        <w:t xml:space="preserve">         </w:t>
      </w:r>
      <w:r>
        <w:rPr>
          <w:rFonts w:ascii="Times New Roman" w:hAnsi="Times New Roman"/>
          <w:color w:val="000000"/>
          <w:sz w:val="32"/>
          <w:szCs w:val="32"/>
          <w:shd w:val="clear" w:color="auto" w:fill="FFFFFF"/>
        </w:rPr>
        <w:t>2023</w:t>
      </w:r>
      <w:r>
        <w:rPr>
          <w:rFonts w:hint="eastAsia" w:ascii="方正仿宋_GBK" w:hAnsi="方正仿宋_GBK" w:eastAsia="方正仿宋_GBK" w:cs="方正仿宋_GBK"/>
          <w:color w:val="000000"/>
          <w:sz w:val="32"/>
          <w:szCs w:val="32"/>
          <w:shd w:val="clear" w:color="auto" w:fill="FFFFFF"/>
        </w:rPr>
        <w:t>年</w:t>
      </w:r>
      <w:r>
        <w:rPr>
          <w:rFonts w:ascii="Times New Roman" w:hAnsi="Times New Roman"/>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rPr>
        <w:t>月</w:t>
      </w:r>
      <w:r>
        <w:rPr>
          <w:rFonts w:ascii="Times New Roman" w:hAnsi="Times New Roman" w:eastAsia="方正仿宋_GBK"/>
          <w:color w:val="000000"/>
          <w:sz w:val="32"/>
          <w:szCs w:val="32"/>
          <w:shd w:val="clear" w:color="auto" w:fill="FFFFFF"/>
        </w:rPr>
        <w:t>29</w:t>
      </w:r>
      <w:r>
        <w:rPr>
          <w:rFonts w:hint="eastAsia" w:ascii="方正仿宋_GBK" w:hAnsi="方正仿宋_GBK" w:eastAsia="方正仿宋_GBK" w:cs="方正仿宋_GBK"/>
          <w:color w:val="000000"/>
          <w:sz w:val="32"/>
          <w:szCs w:val="32"/>
          <w:shd w:val="clear" w:color="auto" w:fill="FFFFFF"/>
        </w:rPr>
        <w:t>日</w:t>
      </w:r>
    </w:p>
    <w:p>
      <w:pPr>
        <w:keepNext w:val="0"/>
        <w:keepLines w:val="0"/>
        <w:pageBreakBefore w:val="0"/>
        <w:kinsoku/>
        <w:wordWrap/>
        <w:overflowPunct/>
        <w:topLinePunct w:val="0"/>
        <w:autoSpaceDE/>
        <w:autoSpaceDN/>
        <w:bidi w:val="0"/>
        <w:adjustRightInd/>
        <w:snapToGrid/>
        <w:spacing w:line="576" w:lineRule="exact"/>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69075F"/>
    <w:multiLevelType w:val="singleLevel"/>
    <w:tmpl w:val="8969075F"/>
    <w:lvl w:ilvl="0" w:tentative="0">
      <w:start w:val="1"/>
      <w:numFmt w:val="chineseCounting"/>
      <w:suff w:val="nothing"/>
      <w:lvlText w:val="%1、"/>
      <w:lvlJc w:val="left"/>
      <w:rPr>
        <w:rFonts w:hint="eastAsia"/>
      </w:rPr>
    </w:lvl>
  </w:abstractNum>
  <w:abstractNum w:abstractNumId="1">
    <w:nsid w:val="155F167F"/>
    <w:multiLevelType w:val="singleLevel"/>
    <w:tmpl w:val="155F167F"/>
    <w:lvl w:ilvl="0" w:tentative="0">
      <w:start w:val="5"/>
      <w:numFmt w:val="chineseCounting"/>
      <w:suff w:val="nothing"/>
      <w:lvlText w:val="%1、"/>
      <w:lvlJc w:val="left"/>
      <w:rPr>
        <w:rFonts w:hint="eastAsia"/>
      </w:rPr>
    </w:lvl>
  </w:abstractNum>
  <w:abstractNum w:abstractNumId="2">
    <w:nsid w:val="6CF1A80B"/>
    <w:multiLevelType w:val="singleLevel"/>
    <w:tmpl w:val="6CF1A80B"/>
    <w:lvl w:ilvl="0" w:tentative="0">
      <w:start w:val="5"/>
      <w:numFmt w:val="chineseCounting"/>
      <w:suff w:val="nothing"/>
      <w:lvlText w:val="（%1）"/>
      <w:lvlJc w:val="left"/>
      <w:rPr>
        <w:rFonts w:hint="eastAsia"/>
      </w:rPr>
    </w:lvl>
  </w:abstractNum>
  <w:abstractNum w:abstractNumId="3">
    <w:nsid w:val="72157552"/>
    <w:multiLevelType w:val="singleLevel"/>
    <w:tmpl w:val="72157552"/>
    <w:lvl w:ilvl="0" w:tentative="0">
      <w:start w:val="4"/>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C5DB2"/>
    <w:rsid w:val="032D3A88"/>
    <w:rsid w:val="0404245B"/>
    <w:rsid w:val="06DE0BEE"/>
    <w:rsid w:val="070A7C16"/>
    <w:rsid w:val="0AA8013C"/>
    <w:rsid w:val="10892B70"/>
    <w:rsid w:val="1BA05520"/>
    <w:rsid w:val="1EAC5DB2"/>
    <w:rsid w:val="20C97519"/>
    <w:rsid w:val="2186530F"/>
    <w:rsid w:val="2F31653D"/>
    <w:rsid w:val="34CC555F"/>
    <w:rsid w:val="37605F99"/>
    <w:rsid w:val="4A7B1F4B"/>
    <w:rsid w:val="4DEC0336"/>
    <w:rsid w:val="4F770783"/>
    <w:rsid w:val="53FD48EC"/>
    <w:rsid w:val="590251E1"/>
    <w:rsid w:val="5A046601"/>
    <w:rsid w:val="5AE53829"/>
    <w:rsid w:val="5B4D1B6B"/>
    <w:rsid w:val="61A91802"/>
    <w:rsid w:val="67E76352"/>
    <w:rsid w:val="6D4E64CE"/>
    <w:rsid w:val="6D922258"/>
    <w:rsid w:val="6E9D10D7"/>
    <w:rsid w:val="79DD6DFE"/>
    <w:rsid w:val="7A334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2023-11-28T04:01:00Z</dcterms:created>
  <dc:creator>擱淺*呐囘憶</dc:creator>
  <cp:lastModifiedBy>Administrator</cp:lastModifiedBy>
  <cp:lastPrinted>2023-11-28T08:23:00Z</cp:lastPrinted>
  <dcterms:modified xsi:type="dcterms:W3CDTF">2023-11-29T10:32:00Z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