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85B0C6">
      <w:pPr>
        <w:spacing w:after="0" w:line="240" w:lineRule="auto"/>
        <w:rPr>
          <w:rFonts w:hint="eastAsia" w:ascii="宋体" w:eastAsia="宋体"/>
          <w:sz w:val="32"/>
          <w:szCs w:val="32"/>
        </w:rPr>
      </w:pPr>
    </w:p>
    <w:p w14:paraId="44DB61C3">
      <w:pPr>
        <w:spacing w:after="0" w:line="240" w:lineRule="auto"/>
        <w:rPr>
          <w:rFonts w:hint="eastAsia" w:ascii="宋体" w:eastAsia="宋体"/>
          <w:sz w:val="44"/>
          <w:szCs w:val="44"/>
        </w:rPr>
      </w:pPr>
    </w:p>
    <w:p w14:paraId="2F425AC5">
      <w:pPr>
        <w:spacing w:after="0" w:line="240" w:lineRule="auto"/>
        <w:rPr>
          <w:rFonts w:hint="eastAsia" w:ascii="宋体" w:eastAsia="宋体"/>
          <w:sz w:val="44"/>
          <w:szCs w:val="44"/>
        </w:rPr>
      </w:pPr>
    </w:p>
    <w:p w14:paraId="1FA104BF">
      <w:pPr>
        <w:spacing w:after="0" w:line="240" w:lineRule="auto"/>
        <w:rPr>
          <w:rFonts w:hint="eastAsia" w:ascii="宋体" w:eastAsia="宋体"/>
          <w:sz w:val="44"/>
          <w:szCs w:val="44"/>
        </w:rPr>
      </w:pPr>
    </w:p>
    <w:p w14:paraId="38E85E74">
      <w:pPr>
        <w:spacing w:after="0" w:line="240" w:lineRule="auto"/>
        <w:jc w:val="center"/>
        <w:outlineLvl w:val="0"/>
        <w:rPr>
          <w:rFonts w:ascii="宋体" w:eastAsia="黑体"/>
          <w:sz w:val="44"/>
          <w:szCs w:val="44"/>
          <w:lang w:eastAsia="zh-CN"/>
        </w:rPr>
      </w:pPr>
      <w:r>
        <w:rPr>
          <w:rFonts w:ascii="宋体" w:eastAsia="黑体"/>
          <w:sz w:val="44"/>
          <w:szCs w:val="44"/>
          <w:lang w:eastAsia="zh-CN"/>
        </w:rPr>
        <w:t>中国共产党乌鲁木齐市达坂城区</w:t>
      </w:r>
    </w:p>
    <w:p w14:paraId="7F3FCA4E">
      <w:pPr>
        <w:spacing w:after="0" w:line="240" w:lineRule="auto"/>
        <w:jc w:val="center"/>
        <w:outlineLvl w:val="0"/>
        <w:rPr>
          <w:rFonts w:hint="eastAsia" w:ascii="宋体" w:eastAsia="黑体"/>
          <w:sz w:val="44"/>
          <w:szCs w:val="44"/>
          <w:lang w:eastAsia="zh-CN"/>
        </w:rPr>
      </w:pPr>
      <w:r>
        <w:rPr>
          <w:rFonts w:ascii="宋体" w:eastAsia="黑体"/>
          <w:sz w:val="44"/>
          <w:szCs w:val="44"/>
          <w:lang w:eastAsia="zh-CN"/>
        </w:rPr>
        <w:t>政法委员会办公室</w:t>
      </w:r>
    </w:p>
    <w:p w14:paraId="4D411802">
      <w:pPr>
        <w:spacing w:after="0" w:line="240" w:lineRule="auto"/>
        <w:jc w:val="center"/>
        <w:outlineLvl w:val="0"/>
        <w:rPr>
          <w:rFonts w:hint="eastAsia" w:ascii="黑体" w:eastAsia="黑体"/>
          <w:sz w:val="44"/>
          <w:szCs w:val="44"/>
          <w:lang w:eastAsia="zh-CN"/>
        </w:rPr>
      </w:pPr>
      <w:r>
        <w:rPr>
          <w:rFonts w:ascii="黑体" w:eastAsia="黑体"/>
          <w:sz w:val="44"/>
          <w:szCs w:val="44"/>
          <w:lang w:eastAsia="zh-CN"/>
        </w:rPr>
        <w:t>2024年度部门决算公开说明</w:t>
      </w:r>
    </w:p>
    <w:p w14:paraId="5542E05D">
      <w:pPr>
        <w:rPr>
          <w:rFonts w:hint="eastAsia"/>
          <w:lang w:eastAsia="zh-CN"/>
        </w:rPr>
      </w:pPr>
      <w:r>
        <w:rPr>
          <w:sz w:val="0"/>
          <w:szCs w:val="0"/>
          <w:lang w:eastAsia="zh-CN"/>
        </w:rPr>
        <w:br w:type="page"/>
      </w:r>
    </w:p>
    <w:p w14:paraId="01A62F3F">
      <w:pPr>
        <w:spacing w:after="0" w:line="240" w:lineRule="auto"/>
        <w:jc w:val="center"/>
        <w:rPr>
          <w:rFonts w:hint="eastAsia" w:ascii="黑体" w:eastAsia="黑体"/>
          <w:sz w:val="32"/>
          <w:szCs w:val="32"/>
          <w:lang w:eastAsia="zh-CN"/>
        </w:rPr>
      </w:pPr>
      <w:r>
        <w:rPr>
          <w:rFonts w:ascii="黑体" w:eastAsia="黑体"/>
          <w:b/>
          <w:sz w:val="32"/>
          <w:szCs w:val="32"/>
          <w:lang w:eastAsia="zh-CN"/>
        </w:rPr>
        <w:t>目  录</w:t>
      </w:r>
    </w:p>
    <w:p w14:paraId="5F6F4719">
      <w:pPr>
        <w:spacing w:after="0" w:line="240" w:lineRule="auto"/>
        <w:rPr>
          <w:rFonts w:hint="eastAsia" w:ascii="仿宋_GB2312" w:eastAsia="仿宋_GB2312"/>
          <w:sz w:val="32"/>
          <w:szCs w:val="32"/>
          <w:lang w:eastAsia="zh-CN"/>
        </w:rPr>
      </w:pPr>
      <w:r>
        <w:rPr>
          <w:rFonts w:ascii="仿宋_GB2312" w:eastAsia="仿宋_GB2312"/>
          <w:b/>
          <w:sz w:val="32"/>
          <w:szCs w:val="32"/>
          <w:lang w:eastAsia="zh-CN"/>
        </w:rPr>
        <w:t>第一部分单位概况</w:t>
      </w:r>
    </w:p>
    <w:p w14:paraId="4B07614D">
      <w:pPr>
        <w:spacing w:after="0" w:line="240" w:lineRule="auto"/>
        <w:rPr>
          <w:rFonts w:hint="eastAsia" w:ascii="仿宋_GB2312" w:eastAsia="仿宋_GB2312"/>
          <w:sz w:val="32"/>
          <w:szCs w:val="32"/>
          <w:lang w:eastAsia="zh-CN"/>
        </w:rPr>
      </w:pPr>
      <w:r>
        <w:rPr>
          <w:rFonts w:ascii="仿宋_GB2312" w:eastAsia="仿宋_GB2312"/>
          <w:sz w:val="32"/>
          <w:szCs w:val="32"/>
          <w:lang w:eastAsia="zh-CN"/>
        </w:rPr>
        <w:t>一、主要职能</w:t>
      </w:r>
    </w:p>
    <w:p w14:paraId="752C9665">
      <w:pPr>
        <w:spacing w:after="0" w:line="240" w:lineRule="auto"/>
        <w:rPr>
          <w:rFonts w:hint="eastAsia" w:ascii="仿宋_GB2312" w:eastAsia="仿宋_GB2312"/>
          <w:sz w:val="32"/>
          <w:szCs w:val="32"/>
          <w:lang w:eastAsia="zh-CN"/>
        </w:rPr>
      </w:pPr>
      <w:r>
        <w:rPr>
          <w:rFonts w:ascii="仿宋_GB2312" w:eastAsia="仿宋_GB2312"/>
          <w:sz w:val="32"/>
          <w:szCs w:val="32"/>
          <w:lang w:eastAsia="zh-CN"/>
        </w:rPr>
        <w:t>二、机构设置及人员情况</w:t>
      </w:r>
    </w:p>
    <w:p w14:paraId="4A928F36">
      <w:pPr>
        <w:spacing w:after="0" w:line="240" w:lineRule="auto"/>
        <w:rPr>
          <w:rFonts w:hint="eastAsia" w:ascii="仿宋_GB2312" w:eastAsia="仿宋_GB2312"/>
          <w:sz w:val="32"/>
          <w:szCs w:val="32"/>
          <w:lang w:eastAsia="zh-CN"/>
        </w:rPr>
      </w:pPr>
      <w:r>
        <w:rPr>
          <w:rFonts w:ascii="仿宋_GB2312" w:eastAsia="仿宋_GB2312"/>
          <w:b/>
          <w:sz w:val="32"/>
          <w:szCs w:val="32"/>
          <w:lang w:eastAsia="zh-CN"/>
        </w:rPr>
        <w:t>第二部分 部门决算情况说明</w:t>
      </w:r>
    </w:p>
    <w:p w14:paraId="738CE175">
      <w:pPr>
        <w:spacing w:after="0" w:line="240" w:lineRule="auto"/>
        <w:rPr>
          <w:rFonts w:hint="eastAsia" w:ascii="仿宋_GB2312" w:eastAsia="仿宋_GB2312"/>
          <w:sz w:val="32"/>
          <w:szCs w:val="32"/>
          <w:lang w:eastAsia="zh-CN"/>
        </w:rPr>
      </w:pPr>
      <w:r>
        <w:rPr>
          <w:rFonts w:ascii="仿宋_GB2312" w:eastAsia="仿宋_GB2312"/>
          <w:sz w:val="32"/>
          <w:szCs w:val="32"/>
          <w:lang w:eastAsia="zh-CN"/>
        </w:rPr>
        <w:t>一、收入支出决算总体情况说明</w:t>
      </w:r>
    </w:p>
    <w:p w14:paraId="7EB23358">
      <w:pPr>
        <w:spacing w:after="0" w:line="240" w:lineRule="auto"/>
        <w:rPr>
          <w:rFonts w:hint="eastAsia" w:ascii="仿宋_GB2312" w:eastAsia="仿宋_GB2312"/>
          <w:sz w:val="32"/>
          <w:szCs w:val="32"/>
          <w:lang w:eastAsia="zh-CN"/>
        </w:rPr>
      </w:pPr>
      <w:r>
        <w:rPr>
          <w:rFonts w:ascii="仿宋_GB2312" w:eastAsia="仿宋_GB2312"/>
          <w:sz w:val="32"/>
          <w:szCs w:val="32"/>
          <w:lang w:eastAsia="zh-CN"/>
        </w:rPr>
        <w:t>二、收入决算情况说明</w:t>
      </w:r>
    </w:p>
    <w:p w14:paraId="1568C243">
      <w:pPr>
        <w:spacing w:after="0" w:line="240" w:lineRule="auto"/>
        <w:rPr>
          <w:rFonts w:hint="eastAsia" w:ascii="仿宋_GB2312" w:eastAsia="仿宋_GB2312"/>
          <w:sz w:val="32"/>
          <w:szCs w:val="32"/>
          <w:lang w:eastAsia="zh-CN"/>
        </w:rPr>
      </w:pPr>
      <w:r>
        <w:rPr>
          <w:rFonts w:ascii="仿宋_GB2312" w:eastAsia="仿宋_GB2312"/>
          <w:sz w:val="32"/>
          <w:szCs w:val="32"/>
          <w:lang w:eastAsia="zh-CN"/>
        </w:rPr>
        <w:t>三、支出决算情况说明</w:t>
      </w:r>
    </w:p>
    <w:p w14:paraId="6EF15197">
      <w:pPr>
        <w:spacing w:after="0" w:line="240" w:lineRule="auto"/>
        <w:rPr>
          <w:rFonts w:hint="eastAsia" w:ascii="仿宋_GB2312" w:eastAsia="仿宋_GB2312"/>
          <w:sz w:val="32"/>
          <w:szCs w:val="32"/>
          <w:lang w:eastAsia="zh-CN"/>
        </w:rPr>
      </w:pPr>
      <w:r>
        <w:rPr>
          <w:rFonts w:ascii="仿宋_GB2312" w:eastAsia="仿宋_GB2312"/>
          <w:sz w:val="32"/>
          <w:szCs w:val="32"/>
          <w:lang w:eastAsia="zh-CN"/>
        </w:rPr>
        <w:t>四、财政拨款收入支出决算总体情况说明</w:t>
      </w:r>
    </w:p>
    <w:p w14:paraId="3AD3F21C">
      <w:pPr>
        <w:spacing w:after="0" w:line="240" w:lineRule="auto"/>
        <w:rPr>
          <w:rFonts w:hint="eastAsia" w:ascii="仿宋_GB2312" w:eastAsia="仿宋_GB2312"/>
          <w:sz w:val="32"/>
          <w:szCs w:val="32"/>
          <w:lang w:eastAsia="zh-CN"/>
        </w:rPr>
      </w:pPr>
      <w:r>
        <w:rPr>
          <w:rFonts w:ascii="仿宋_GB2312" w:eastAsia="仿宋_GB2312"/>
          <w:sz w:val="32"/>
          <w:szCs w:val="32"/>
          <w:lang w:eastAsia="zh-CN"/>
        </w:rPr>
        <w:t>五、一般公共预算财政拨款支出决算情况说明</w:t>
      </w:r>
    </w:p>
    <w:p w14:paraId="6FFBF782">
      <w:pPr>
        <w:spacing w:after="0" w:line="240" w:lineRule="auto"/>
        <w:rPr>
          <w:rFonts w:hint="eastAsia" w:ascii="仿宋_GB2312" w:eastAsia="仿宋_GB2312"/>
          <w:sz w:val="32"/>
          <w:szCs w:val="32"/>
          <w:lang w:eastAsia="zh-CN"/>
        </w:rPr>
      </w:pPr>
      <w:r>
        <w:rPr>
          <w:rFonts w:ascii="仿宋_GB2312" w:eastAsia="仿宋_GB2312"/>
          <w:sz w:val="32"/>
          <w:szCs w:val="32"/>
          <w:lang w:eastAsia="zh-CN"/>
        </w:rPr>
        <w:t>（一）一般公共预算财政拨款支出决算总体情况</w:t>
      </w:r>
    </w:p>
    <w:p w14:paraId="3053202D">
      <w:pPr>
        <w:spacing w:after="0" w:line="240" w:lineRule="auto"/>
        <w:rPr>
          <w:rFonts w:hint="eastAsia" w:ascii="仿宋_GB2312" w:eastAsia="仿宋_GB2312"/>
          <w:sz w:val="32"/>
          <w:szCs w:val="32"/>
          <w:lang w:eastAsia="zh-CN"/>
        </w:rPr>
      </w:pPr>
      <w:r>
        <w:rPr>
          <w:rFonts w:ascii="仿宋_GB2312" w:eastAsia="仿宋_GB2312"/>
          <w:sz w:val="32"/>
          <w:szCs w:val="32"/>
          <w:lang w:eastAsia="zh-CN"/>
        </w:rPr>
        <w:t>（二）一般公共预算财政拨款支出决算结构情况</w:t>
      </w:r>
    </w:p>
    <w:p w14:paraId="00063232">
      <w:pPr>
        <w:spacing w:after="0" w:line="240" w:lineRule="auto"/>
        <w:rPr>
          <w:rFonts w:hint="eastAsia" w:ascii="仿宋_GB2312" w:eastAsia="仿宋_GB2312"/>
          <w:sz w:val="32"/>
          <w:szCs w:val="32"/>
          <w:lang w:eastAsia="zh-CN"/>
        </w:rPr>
      </w:pPr>
      <w:r>
        <w:rPr>
          <w:rFonts w:ascii="仿宋_GB2312" w:eastAsia="仿宋_GB2312"/>
          <w:sz w:val="32"/>
          <w:szCs w:val="32"/>
          <w:lang w:eastAsia="zh-CN"/>
        </w:rPr>
        <w:t>（三）一般公共预算财政拨款支出决算具体情况</w:t>
      </w:r>
    </w:p>
    <w:p w14:paraId="08C06576">
      <w:pPr>
        <w:spacing w:after="0" w:line="240" w:lineRule="auto"/>
        <w:rPr>
          <w:rFonts w:hint="eastAsia" w:ascii="仿宋_GB2312" w:eastAsia="仿宋_GB2312"/>
          <w:sz w:val="32"/>
          <w:szCs w:val="32"/>
          <w:lang w:eastAsia="zh-CN"/>
        </w:rPr>
      </w:pPr>
      <w:r>
        <w:rPr>
          <w:rFonts w:ascii="仿宋_GB2312" w:eastAsia="仿宋_GB2312"/>
          <w:sz w:val="32"/>
          <w:szCs w:val="32"/>
          <w:lang w:eastAsia="zh-CN"/>
        </w:rPr>
        <w:t>​六、一般公共预算财政拨款基本支出决算情况说明</w:t>
      </w:r>
    </w:p>
    <w:p w14:paraId="5801034F">
      <w:pPr>
        <w:spacing w:after="0" w:line="240" w:lineRule="auto"/>
        <w:rPr>
          <w:rFonts w:hint="eastAsia" w:ascii="仿宋_GB2312" w:eastAsia="仿宋_GB2312"/>
          <w:sz w:val="32"/>
          <w:szCs w:val="32"/>
          <w:lang w:eastAsia="zh-CN"/>
        </w:rPr>
      </w:pPr>
      <w:r>
        <w:rPr>
          <w:rFonts w:ascii="仿宋_GB2312" w:eastAsia="仿宋_GB2312"/>
          <w:sz w:val="32"/>
          <w:szCs w:val="32"/>
          <w:lang w:eastAsia="zh-CN"/>
        </w:rPr>
        <w:t>七、政府性基金预算财政拨款收入支出决算情况说明</w:t>
      </w:r>
    </w:p>
    <w:p w14:paraId="39E8D1F9">
      <w:pPr>
        <w:spacing w:after="0" w:line="240" w:lineRule="auto"/>
        <w:rPr>
          <w:rFonts w:hint="eastAsia" w:ascii="仿宋_GB2312" w:eastAsia="仿宋_GB2312"/>
          <w:sz w:val="32"/>
          <w:szCs w:val="32"/>
          <w:lang w:eastAsia="zh-CN"/>
        </w:rPr>
      </w:pPr>
      <w:r>
        <w:rPr>
          <w:rFonts w:ascii="仿宋_GB2312" w:eastAsia="仿宋_GB2312"/>
          <w:sz w:val="32"/>
          <w:szCs w:val="32"/>
          <w:lang w:eastAsia="zh-CN"/>
        </w:rPr>
        <w:t>八、国有资本经营预算财政拨款收入支出决算情况说明</w:t>
      </w:r>
    </w:p>
    <w:p w14:paraId="33CC10C7">
      <w:pPr>
        <w:spacing w:after="0" w:line="240" w:lineRule="auto"/>
        <w:rPr>
          <w:rFonts w:hint="eastAsia" w:ascii="仿宋_GB2312" w:eastAsia="仿宋_GB2312"/>
          <w:sz w:val="32"/>
          <w:szCs w:val="32"/>
          <w:lang w:eastAsia="zh-CN"/>
        </w:rPr>
      </w:pPr>
      <w:r>
        <w:rPr>
          <w:rFonts w:ascii="仿宋_GB2312" w:eastAsia="仿宋_GB2312"/>
          <w:sz w:val="32"/>
          <w:szCs w:val="32"/>
          <w:lang w:eastAsia="zh-CN"/>
        </w:rPr>
        <w:t>九、财政拨款“三公”经费支出决算情况说明</w:t>
      </w:r>
    </w:p>
    <w:p w14:paraId="36AC7B89">
      <w:pPr>
        <w:spacing w:after="0" w:line="240" w:lineRule="auto"/>
        <w:rPr>
          <w:rFonts w:hint="eastAsia" w:ascii="仿宋_GB2312" w:eastAsia="仿宋_GB2312"/>
          <w:sz w:val="32"/>
          <w:szCs w:val="32"/>
          <w:lang w:eastAsia="zh-CN"/>
        </w:rPr>
      </w:pPr>
      <w:r>
        <w:rPr>
          <w:rFonts w:ascii="仿宋_GB2312" w:eastAsia="仿宋_GB2312"/>
          <w:sz w:val="32"/>
          <w:szCs w:val="32"/>
          <w:lang w:eastAsia="zh-CN"/>
        </w:rPr>
        <w:t>​十、其他重要事项的情况说明</w:t>
      </w:r>
    </w:p>
    <w:p w14:paraId="120BF710">
      <w:pPr>
        <w:spacing w:after="0" w:line="240" w:lineRule="auto"/>
        <w:rPr>
          <w:rFonts w:hint="eastAsia" w:ascii="仿宋_GB2312" w:eastAsia="仿宋_GB2312"/>
          <w:sz w:val="32"/>
          <w:szCs w:val="32"/>
          <w:lang w:eastAsia="zh-CN"/>
        </w:rPr>
      </w:pPr>
      <w:r>
        <w:rPr>
          <w:rFonts w:ascii="仿宋_GB2312" w:eastAsia="仿宋_GB2312"/>
          <w:sz w:val="32"/>
          <w:szCs w:val="32"/>
          <w:lang w:eastAsia="zh-CN"/>
        </w:rPr>
        <w:t>（一）机关运行经费及公用经费支出情况</w:t>
      </w:r>
    </w:p>
    <w:p w14:paraId="7011CE71">
      <w:pPr>
        <w:spacing w:after="0" w:line="240" w:lineRule="auto"/>
        <w:rPr>
          <w:rFonts w:hint="eastAsia" w:ascii="仿宋_GB2312" w:eastAsia="仿宋_GB2312"/>
          <w:sz w:val="32"/>
          <w:szCs w:val="32"/>
          <w:lang w:eastAsia="zh-CN"/>
        </w:rPr>
      </w:pPr>
      <w:r>
        <w:rPr>
          <w:rFonts w:ascii="仿宋_GB2312" w:eastAsia="仿宋_GB2312"/>
          <w:sz w:val="32"/>
          <w:szCs w:val="32"/>
          <w:lang w:eastAsia="zh-CN"/>
        </w:rPr>
        <w:t>（二）政府采购情况</w:t>
      </w:r>
    </w:p>
    <w:p w14:paraId="7629B6A4">
      <w:pPr>
        <w:spacing w:after="0" w:line="240" w:lineRule="auto"/>
        <w:rPr>
          <w:rFonts w:hint="eastAsia" w:ascii="仿宋_GB2312" w:eastAsia="仿宋_GB2312"/>
          <w:sz w:val="32"/>
          <w:szCs w:val="32"/>
          <w:lang w:eastAsia="zh-CN"/>
        </w:rPr>
      </w:pPr>
      <w:r>
        <w:rPr>
          <w:rFonts w:ascii="仿宋_GB2312" w:eastAsia="仿宋_GB2312"/>
          <w:sz w:val="32"/>
          <w:szCs w:val="32"/>
          <w:lang w:eastAsia="zh-CN"/>
        </w:rPr>
        <w:t>（三）国有资产占用情况说明</w:t>
      </w:r>
    </w:p>
    <w:p w14:paraId="39509981">
      <w:pPr>
        <w:spacing w:after="0" w:line="240" w:lineRule="auto"/>
        <w:rPr>
          <w:rFonts w:hint="eastAsia" w:ascii="仿宋_GB2312" w:eastAsia="仿宋_GB2312"/>
          <w:sz w:val="32"/>
          <w:szCs w:val="32"/>
          <w:lang w:eastAsia="zh-CN"/>
        </w:rPr>
      </w:pPr>
      <w:r>
        <w:rPr>
          <w:rFonts w:ascii="仿宋_GB2312" w:eastAsia="仿宋_GB2312"/>
          <w:sz w:val="32"/>
          <w:szCs w:val="32"/>
          <w:lang w:eastAsia="zh-CN"/>
        </w:rPr>
        <w:t>十一、预算绩效的情况说明</w:t>
      </w:r>
    </w:p>
    <w:p w14:paraId="641DC14D">
      <w:pPr>
        <w:spacing w:after="0" w:line="240" w:lineRule="auto"/>
        <w:rPr>
          <w:rFonts w:hint="eastAsia" w:ascii="仿宋_GB2312" w:eastAsia="仿宋_GB2312"/>
          <w:sz w:val="32"/>
          <w:szCs w:val="32"/>
          <w:lang w:eastAsia="zh-CN"/>
        </w:rPr>
      </w:pPr>
      <w:r>
        <w:rPr>
          <w:rFonts w:ascii="仿宋_GB2312" w:eastAsia="仿宋_GB2312"/>
          <w:sz w:val="32"/>
          <w:szCs w:val="32"/>
          <w:lang w:eastAsia="zh-CN"/>
        </w:rPr>
        <w:t>十二、其他需说明的事项</w:t>
      </w:r>
    </w:p>
    <w:p w14:paraId="648DA633">
      <w:pPr>
        <w:spacing w:after="0" w:line="240" w:lineRule="auto"/>
        <w:rPr>
          <w:rFonts w:hint="eastAsia" w:ascii="仿宋_GB2312" w:eastAsia="仿宋_GB2312"/>
          <w:sz w:val="32"/>
          <w:szCs w:val="32"/>
          <w:lang w:eastAsia="zh-CN"/>
        </w:rPr>
      </w:pPr>
      <w:r>
        <w:rPr>
          <w:rFonts w:ascii="仿宋_GB2312" w:eastAsia="仿宋_GB2312"/>
          <w:b/>
          <w:sz w:val="32"/>
          <w:szCs w:val="32"/>
          <w:lang w:eastAsia="zh-CN"/>
        </w:rPr>
        <w:t>第三部分 专业名词解释</w:t>
      </w:r>
    </w:p>
    <w:p w14:paraId="292DDCB4">
      <w:pPr>
        <w:spacing w:after="0" w:line="240" w:lineRule="auto"/>
        <w:rPr>
          <w:rFonts w:hint="eastAsia" w:ascii="仿宋_GB2312" w:eastAsia="仿宋_GB2312"/>
          <w:sz w:val="32"/>
          <w:szCs w:val="32"/>
          <w:lang w:eastAsia="zh-CN"/>
        </w:rPr>
      </w:pPr>
      <w:r>
        <w:rPr>
          <w:rFonts w:ascii="仿宋_GB2312" w:eastAsia="仿宋_GB2312"/>
          <w:b/>
          <w:sz w:val="32"/>
          <w:szCs w:val="32"/>
          <w:lang w:eastAsia="zh-CN"/>
        </w:rPr>
        <w:t>第四部分 部门决算报表（见附表）</w:t>
      </w:r>
    </w:p>
    <w:p w14:paraId="5F78A7A0">
      <w:pPr>
        <w:spacing w:after="0" w:line="240" w:lineRule="auto"/>
        <w:rPr>
          <w:rFonts w:hint="eastAsia" w:ascii="仿宋_GB2312" w:eastAsia="仿宋_GB2312"/>
          <w:sz w:val="32"/>
          <w:szCs w:val="32"/>
          <w:lang w:eastAsia="zh-CN"/>
        </w:rPr>
      </w:pPr>
      <w:r>
        <w:rPr>
          <w:rFonts w:ascii="仿宋_GB2312" w:eastAsia="仿宋_GB2312"/>
          <w:sz w:val="32"/>
          <w:szCs w:val="32"/>
          <w:lang w:eastAsia="zh-CN"/>
        </w:rPr>
        <w:t>一、《收入支出决算总表》</w:t>
      </w:r>
    </w:p>
    <w:p w14:paraId="32C394D8">
      <w:pPr>
        <w:spacing w:after="0" w:line="240" w:lineRule="auto"/>
        <w:rPr>
          <w:rFonts w:hint="eastAsia" w:ascii="仿宋_GB2312" w:eastAsia="仿宋_GB2312"/>
          <w:sz w:val="32"/>
          <w:szCs w:val="32"/>
          <w:lang w:eastAsia="zh-CN"/>
        </w:rPr>
      </w:pPr>
      <w:r>
        <w:rPr>
          <w:rFonts w:ascii="仿宋_GB2312" w:eastAsia="仿宋_GB2312"/>
          <w:sz w:val="32"/>
          <w:szCs w:val="32"/>
          <w:lang w:eastAsia="zh-CN"/>
        </w:rPr>
        <w:t>二、《收入决算表》</w:t>
      </w:r>
    </w:p>
    <w:p w14:paraId="1431F5A4">
      <w:pPr>
        <w:spacing w:after="0" w:line="240" w:lineRule="auto"/>
        <w:rPr>
          <w:rFonts w:hint="eastAsia" w:ascii="仿宋_GB2312" w:eastAsia="仿宋_GB2312"/>
          <w:sz w:val="32"/>
          <w:szCs w:val="32"/>
          <w:lang w:eastAsia="zh-CN"/>
        </w:rPr>
      </w:pPr>
      <w:r>
        <w:rPr>
          <w:rFonts w:ascii="仿宋_GB2312" w:eastAsia="仿宋_GB2312"/>
          <w:sz w:val="32"/>
          <w:szCs w:val="32"/>
          <w:lang w:eastAsia="zh-CN"/>
        </w:rPr>
        <w:t>三、《支出决算表》</w:t>
      </w:r>
    </w:p>
    <w:p w14:paraId="5BA95FE1">
      <w:pPr>
        <w:spacing w:after="0" w:line="240" w:lineRule="auto"/>
        <w:rPr>
          <w:rFonts w:hint="eastAsia" w:ascii="仿宋_GB2312" w:eastAsia="仿宋_GB2312"/>
          <w:sz w:val="32"/>
          <w:szCs w:val="32"/>
          <w:lang w:eastAsia="zh-CN"/>
        </w:rPr>
      </w:pPr>
      <w:r>
        <w:rPr>
          <w:rFonts w:ascii="仿宋_GB2312" w:eastAsia="仿宋_GB2312"/>
          <w:sz w:val="32"/>
          <w:szCs w:val="32"/>
          <w:lang w:eastAsia="zh-CN"/>
        </w:rPr>
        <w:t>四、《财政拨款收入支出决算总表》</w:t>
      </w:r>
    </w:p>
    <w:p w14:paraId="0BD029A3">
      <w:pPr>
        <w:spacing w:after="0" w:line="240" w:lineRule="auto"/>
        <w:rPr>
          <w:rFonts w:hint="eastAsia" w:ascii="仿宋_GB2312" w:eastAsia="仿宋_GB2312"/>
          <w:sz w:val="32"/>
          <w:szCs w:val="32"/>
          <w:lang w:eastAsia="zh-CN"/>
        </w:rPr>
      </w:pPr>
      <w:r>
        <w:rPr>
          <w:rFonts w:ascii="仿宋_GB2312" w:eastAsia="仿宋_GB2312"/>
          <w:sz w:val="32"/>
          <w:szCs w:val="32"/>
          <w:lang w:eastAsia="zh-CN"/>
        </w:rPr>
        <w:t>五、《一般公共预算财政拨款支出决算表》</w:t>
      </w:r>
    </w:p>
    <w:p w14:paraId="4BD9FF19">
      <w:pPr>
        <w:spacing w:after="0" w:line="240" w:lineRule="auto"/>
        <w:rPr>
          <w:rFonts w:hint="eastAsia" w:ascii="仿宋_GB2312" w:eastAsia="仿宋_GB2312"/>
          <w:sz w:val="32"/>
          <w:szCs w:val="32"/>
          <w:lang w:eastAsia="zh-CN"/>
        </w:rPr>
      </w:pPr>
      <w:r>
        <w:rPr>
          <w:rFonts w:ascii="仿宋_GB2312" w:eastAsia="仿宋_GB2312"/>
          <w:sz w:val="32"/>
          <w:szCs w:val="32"/>
          <w:lang w:eastAsia="zh-CN"/>
        </w:rPr>
        <w:t>六、《一般公共预算财政拨款基本支出决算表》</w:t>
      </w:r>
    </w:p>
    <w:p w14:paraId="051C345B">
      <w:pPr>
        <w:spacing w:after="0" w:line="240" w:lineRule="auto"/>
        <w:rPr>
          <w:rFonts w:hint="eastAsia" w:ascii="仿宋_GB2312" w:eastAsia="仿宋_GB2312"/>
          <w:sz w:val="32"/>
          <w:szCs w:val="32"/>
          <w:lang w:eastAsia="zh-CN"/>
        </w:rPr>
      </w:pPr>
      <w:r>
        <w:rPr>
          <w:rFonts w:ascii="仿宋_GB2312" w:eastAsia="仿宋_GB2312"/>
          <w:sz w:val="32"/>
          <w:szCs w:val="32"/>
          <w:lang w:eastAsia="zh-CN"/>
        </w:rPr>
        <w:t>七、《政府性基金预算财政拨款收入支出决算表》</w:t>
      </w:r>
    </w:p>
    <w:p w14:paraId="26114B78">
      <w:pPr>
        <w:spacing w:after="0" w:line="240" w:lineRule="auto"/>
        <w:rPr>
          <w:rFonts w:hint="eastAsia" w:ascii="仿宋_GB2312" w:eastAsia="仿宋_GB2312"/>
          <w:sz w:val="32"/>
          <w:szCs w:val="32"/>
          <w:lang w:eastAsia="zh-CN"/>
        </w:rPr>
      </w:pPr>
      <w:r>
        <w:rPr>
          <w:rFonts w:ascii="仿宋_GB2312" w:eastAsia="仿宋_GB2312"/>
          <w:sz w:val="32"/>
          <w:szCs w:val="32"/>
          <w:lang w:eastAsia="zh-CN"/>
        </w:rPr>
        <w:t>八、《国有资本经营预算财政拨款收入支出决算表》</w:t>
      </w:r>
    </w:p>
    <w:p w14:paraId="00890E38">
      <w:pPr>
        <w:spacing w:after="0" w:line="240" w:lineRule="auto"/>
        <w:rPr>
          <w:rFonts w:hint="eastAsia" w:ascii="仿宋_GB2312" w:eastAsia="仿宋_GB2312"/>
          <w:sz w:val="32"/>
          <w:szCs w:val="32"/>
          <w:lang w:eastAsia="zh-CN"/>
        </w:rPr>
      </w:pPr>
      <w:r>
        <w:rPr>
          <w:rFonts w:ascii="仿宋_GB2312" w:eastAsia="仿宋_GB2312"/>
          <w:sz w:val="32"/>
          <w:szCs w:val="32"/>
          <w:lang w:eastAsia="zh-CN"/>
        </w:rPr>
        <w:t>九、《财政拨款“三公”经费支出决算表》</w:t>
      </w:r>
    </w:p>
    <w:p w14:paraId="24F322BB">
      <w:pPr>
        <w:rPr>
          <w:rFonts w:hint="eastAsia"/>
          <w:lang w:eastAsia="zh-CN"/>
        </w:rPr>
      </w:pPr>
      <w:r>
        <w:rPr>
          <w:sz w:val="0"/>
          <w:szCs w:val="0"/>
          <w:lang w:eastAsia="zh-CN"/>
        </w:rPr>
        <w:br w:type="page"/>
      </w:r>
    </w:p>
    <w:p w14:paraId="1E88361B">
      <w:pPr>
        <w:spacing w:after="0" w:line="240" w:lineRule="auto"/>
        <w:jc w:val="center"/>
        <w:outlineLvl w:val="0"/>
        <w:rPr>
          <w:rFonts w:hint="eastAsia" w:ascii="黑体" w:eastAsia="黑体"/>
          <w:sz w:val="32"/>
          <w:szCs w:val="32"/>
          <w:lang w:eastAsia="zh-CN"/>
        </w:rPr>
      </w:pPr>
      <w:r>
        <w:rPr>
          <w:rFonts w:ascii="黑体" w:eastAsia="黑体"/>
          <w:sz w:val="32"/>
          <w:szCs w:val="32"/>
          <w:lang w:eastAsia="zh-CN"/>
        </w:rPr>
        <w:t>第一部分 单位概况</w:t>
      </w:r>
    </w:p>
    <w:p w14:paraId="6A906470">
      <w:pPr>
        <w:spacing w:after="0" w:line="240" w:lineRule="auto"/>
        <w:ind w:firstLine="640" w:firstLineChars="200"/>
        <w:outlineLvl w:val="1"/>
        <w:rPr>
          <w:rFonts w:hint="eastAsia" w:ascii="黑体" w:eastAsia="黑体"/>
          <w:sz w:val="32"/>
          <w:szCs w:val="32"/>
          <w:lang w:eastAsia="zh-CN"/>
        </w:rPr>
      </w:pPr>
      <w:r>
        <w:rPr>
          <w:rFonts w:ascii="黑体" w:eastAsia="黑体"/>
          <w:sz w:val="32"/>
          <w:szCs w:val="32"/>
          <w:lang w:eastAsia="zh-CN"/>
        </w:rPr>
        <w:t> 一、主要职能</w:t>
      </w:r>
    </w:p>
    <w:p w14:paraId="406A0ED7">
      <w:pPr>
        <w:spacing w:after="0" w:line="240" w:lineRule="auto"/>
        <w:ind w:firstLine="640" w:firstLineChars="200"/>
        <w:jc w:val="both"/>
        <w:rPr>
          <w:rFonts w:hint="eastAsia" w:ascii="仿宋_GB2312" w:eastAsia="仿宋_GB2312"/>
          <w:sz w:val="32"/>
          <w:szCs w:val="32"/>
          <w:lang w:eastAsia="zh-CN"/>
        </w:rPr>
      </w:pPr>
      <w:r>
        <w:rPr>
          <w:rFonts w:ascii="仿宋_GB2312" w:eastAsia="仿宋_GB2312"/>
          <w:sz w:val="32"/>
          <w:szCs w:val="32"/>
          <w:lang w:eastAsia="zh-CN"/>
        </w:rPr>
        <w:t>（一）贯彻执行党的路线、方针、政策和自治区、市委及区委的决策和部署，统一政法各部门的思想和行动。组织、领导、协调、指导政法各部门的工作，对一定时期内的政法工作作出全面部署，指导开展并检查督促政法各部门贯彻落实。研究处理全区政法工作的重大问题，及时向</w:t>
      </w:r>
      <w:r>
        <w:rPr>
          <w:rFonts w:hint="eastAsia" w:ascii="仿宋_GB2312" w:eastAsia="仿宋_GB2312"/>
          <w:sz w:val="32"/>
          <w:szCs w:val="32"/>
          <w:lang w:eastAsia="zh-CN"/>
        </w:rPr>
        <w:t>区委、区政府</w:t>
      </w:r>
      <w:r>
        <w:rPr>
          <w:rFonts w:ascii="仿宋_GB2312" w:eastAsia="仿宋_GB2312"/>
          <w:sz w:val="32"/>
          <w:szCs w:val="32"/>
          <w:lang w:eastAsia="zh-CN"/>
        </w:rPr>
        <w:t>报告，提出建议。</w:t>
      </w:r>
    </w:p>
    <w:p w14:paraId="3FC830B6">
      <w:pPr>
        <w:spacing w:after="0" w:line="240" w:lineRule="auto"/>
        <w:ind w:firstLine="640" w:firstLineChars="200"/>
        <w:jc w:val="both"/>
        <w:rPr>
          <w:rFonts w:hint="eastAsia" w:ascii="仿宋_GB2312" w:eastAsia="仿宋_GB2312"/>
          <w:sz w:val="32"/>
          <w:szCs w:val="32"/>
          <w:lang w:eastAsia="zh-CN"/>
        </w:rPr>
      </w:pPr>
      <w:r>
        <w:rPr>
          <w:rFonts w:ascii="仿宋_GB2312" w:eastAsia="仿宋_GB2312"/>
          <w:sz w:val="32"/>
          <w:szCs w:val="32"/>
          <w:lang w:eastAsia="zh-CN"/>
        </w:rPr>
        <w:t>（二）在区委的统一领导下，组织、协调、指导全区的社会工作，调查掌握社会治安的新情况、新问题，推动各有关职能部门参与社会治安综合治理，研究制定和推进社会治安综合治理措施，并抓好各项措施的落实；根据自治区、市及社会治安综合治理工作的总体规划和部署制定本区的社会治安综合治理工作总体规划和年度计划。</w:t>
      </w:r>
    </w:p>
    <w:p w14:paraId="7E019174">
      <w:pPr>
        <w:spacing w:after="0" w:line="240" w:lineRule="auto"/>
        <w:ind w:firstLine="640" w:firstLineChars="200"/>
        <w:jc w:val="both"/>
        <w:rPr>
          <w:rFonts w:hint="eastAsia" w:ascii="仿宋_GB2312" w:eastAsia="仿宋_GB2312"/>
          <w:sz w:val="32"/>
          <w:szCs w:val="32"/>
          <w:lang w:eastAsia="zh-CN"/>
        </w:rPr>
      </w:pPr>
      <w:r>
        <w:rPr>
          <w:rFonts w:ascii="仿宋_GB2312" w:eastAsia="仿宋_GB2312"/>
          <w:sz w:val="32"/>
          <w:szCs w:val="32"/>
          <w:lang w:eastAsia="zh-CN"/>
        </w:rPr>
        <w:t>（三）领导、组织、协调全区防范和处理邪教问题及有害气功组织的工作。了解、掌握“法轮功”及其他有危害气功组织的活动动向,综合有关信息,确保上情下达和下情上报，为区委决策当好参谋、助手。协调有关部门开展反邪教 的社会宣传工作。</w:t>
      </w:r>
    </w:p>
    <w:p w14:paraId="1D35F917">
      <w:pPr>
        <w:spacing w:after="0" w:line="240" w:lineRule="auto"/>
        <w:ind w:firstLine="640" w:firstLineChars="200"/>
        <w:jc w:val="both"/>
        <w:rPr>
          <w:rFonts w:hint="eastAsia" w:ascii="仿宋_GB2312" w:eastAsia="仿宋_GB2312"/>
          <w:sz w:val="32"/>
          <w:szCs w:val="32"/>
          <w:lang w:eastAsia="zh-CN"/>
        </w:rPr>
      </w:pPr>
      <w:r>
        <w:rPr>
          <w:rFonts w:ascii="仿宋_GB2312" w:eastAsia="仿宋_GB2312"/>
          <w:sz w:val="32"/>
          <w:szCs w:val="32"/>
          <w:lang w:eastAsia="zh-CN"/>
        </w:rPr>
        <w:t>（四）支持、监督政法各部门依法行使职权，严格公正执法。指导和协调政法各部门依法互相制约，密切配合。依法组织开展执法督查，督促、推动政法各部门查处大案要案，组织协调有争议的重大疑难案件的处理</w:t>
      </w:r>
      <w:r>
        <w:rPr>
          <w:rFonts w:hint="eastAsia" w:ascii="仿宋_GB2312" w:eastAsia="仿宋_GB2312"/>
          <w:sz w:val="32"/>
          <w:szCs w:val="32"/>
          <w:lang w:eastAsia="zh-CN"/>
        </w:rPr>
        <w:t>。</w:t>
      </w:r>
    </w:p>
    <w:p w14:paraId="3AA1BB33">
      <w:pPr>
        <w:spacing w:after="0" w:line="240" w:lineRule="auto"/>
        <w:ind w:firstLine="640" w:firstLineChars="200"/>
        <w:jc w:val="both"/>
        <w:rPr>
          <w:rFonts w:hint="eastAsia" w:ascii="仿宋_GB2312" w:eastAsia="仿宋_GB2312"/>
          <w:sz w:val="32"/>
          <w:szCs w:val="32"/>
          <w:lang w:eastAsia="zh-CN"/>
        </w:rPr>
      </w:pPr>
      <w:r>
        <w:rPr>
          <w:rFonts w:ascii="仿宋_GB2312" w:eastAsia="仿宋_GB2312"/>
          <w:sz w:val="32"/>
          <w:szCs w:val="32"/>
          <w:lang w:eastAsia="zh-CN"/>
        </w:rPr>
        <w:t>（五）加强社会管理创新，进一步</w:t>
      </w:r>
      <w:r>
        <w:rPr>
          <w:rFonts w:hint="eastAsia" w:ascii="仿宋_GB2312" w:eastAsia="仿宋_GB2312"/>
          <w:sz w:val="32"/>
          <w:szCs w:val="32"/>
          <w:lang w:eastAsia="zh-CN"/>
        </w:rPr>
        <w:t>夯实</w:t>
      </w:r>
      <w:r>
        <w:rPr>
          <w:rFonts w:ascii="仿宋_GB2312" w:eastAsia="仿宋_GB2312"/>
          <w:sz w:val="32"/>
          <w:szCs w:val="32"/>
          <w:lang w:eastAsia="zh-CN"/>
        </w:rPr>
        <w:t>社会基础。加强出租房屋、流动人口服务和管理，完善出租房屋和流动人口管理体系，落实出租人安全责任制和承租人登记管理</w:t>
      </w:r>
      <w:r>
        <w:rPr>
          <w:rFonts w:hint="eastAsia" w:ascii="仿宋_GB2312" w:eastAsia="仿宋_GB2312"/>
          <w:sz w:val="32"/>
          <w:szCs w:val="32"/>
          <w:lang w:eastAsia="zh-CN"/>
        </w:rPr>
        <w:t>制度</w:t>
      </w:r>
      <w:r>
        <w:rPr>
          <w:rFonts w:ascii="仿宋_GB2312" w:eastAsia="仿宋_GB2312"/>
          <w:sz w:val="32"/>
          <w:szCs w:val="32"/>
          <w:lang w:eastAsia="zh-CN"/>
        </w:rPr>
        <w:t>，加快建立完善流动人口综合管理信息化平台建设，不断提高管理效能和服务水平。</w:t>
      </w:r>
    </w:p>
    <w:p w14:paraId="6997772E">
      <w:pPr>
        <w:spacing w:after="0" w:line="240" w:lineRule="auto"/>
        <w:ind w:firstLine="640" w:firstLineChars="200"/>
        <w:jc w:val="both"/>
        <w:rPr>
          <w:rFonts w:hint="eastAsia" w:ascii="仿宋_GB2312" w:eastAsia="仿宋_GB2312"/>
          <w:sz w:val="32"/>
          <w:szCs w:val="32"/>
          <w:lang w:eastAsia="zh-CN"/>
        </w:rPr>
      </w:pPr>
      <w:r>
        <w:rPr>
          <w:rFonts w:ascii="仿宋_GB2312" w:eastAsia="仿宋_GB2312"/>
          <w:sz w:val="32"/>
          <w:szCs w:val="32"/>
          <w:lang w:eastAsia="zh-CN"/>
        </w:rPr>
        <w:t>（六）组织推动政法战线的调查研究工作，探索政法工作改革的新路子；指导政法队伍建设，研究和落实加强政法部门领导班子建设的措施，协助区委及其组织部门考察、选拔、管理政法部门的领导干部，协助纪检监察部门查处政法部门干部违法违纪的案件。</w:t>
      </w:r>
    </w:p>
    <w:p w14:paraId="72C40FE0">
      <w:pPr>
        <w:spacing w:after="0" w:line="240" w:lineRule="auto"/>
        <w:ind w:firstLine="640" w:firstLineChars="200"/>
        <w:jc w:val="both"/>
        <w:rPr>
          <w:rFonts w:hint="eastAsia" w:ascii="仿宋_GB2312" w:eastAsia="仿宋_GB2312"/>
          <w:sz w:val="32"/>
          <w:szCs w:val="32"/>
          <w:lang w:eastAsia="zh-CN"/>
        </w:rPr>
      </w:pPr>
      <w:r>
        <w:rPr>
          <w:rFonts w:ascii="仿宋_GB2312" w:eastAsia="仿宋_GB2312"/>
          <w:sz w:val="32"/>
          <w:szCs w:val="32"/>
          <w:lang w:eastAsia="zh-CN"/>
        </w:rPr>
        <w:t>（七）组织、协调本区各有关部门各街道（乡）开展社会治安综合治理工作，推动各部门和街道（乡）及综治工作各项措施的落实。</w:t>
      </w:r>
    </w:p>
    <w:p w14:paraId="66A2015A">
      <w:pPr>
        <w:spacing w:after="0" w:line="240" w:lineRule="auto"/>
        <w:ind w:firstLine="640" w:firstLineChars="200"/>
        <w:jc w:val="both"/>
        <w:rPr>
          <w:rFonts w:hint="eastAsia" w:ascii="仿宋_GB2312" w:eastAsia="仿宋_GB2312"/>
          <w:sz w:val="32"/>
          <w:szCs w:val="32"/>
          <w:lang w:eastAsia="zh-CN"/>
        </w:rPr>
      </w:pPr>
      <w:r>
        <w:rPr>
          <w:rFonts w:ascii="仿宋_GB2312" w:eastAsia="仿宋_GB2312"/>
          <w:sz w:val="32"/>
          <w:szCs w:val="32"/>
          <w:lang w:eastAsia="zh-CN"/>
        </w:rPr>
        <w:t>（八）组织、协调本区各有关部门和各街道（乡）开展社会综合治理工作;经常开展对影响社会的因素和苗头的排查工作，针对社会治安的突出问题及时向区委、区政府提出意见和建议。</w:t>
      </w:r>
    </w:p>
    <w:p w14:paraId="701AD8FF">
      <w:pPr>
        <w:spacing w:after="0" w:line="240" w:lineRule="auto"/>
        <w:ind w:firstLine="640" w:firstLineChars="200"/>
        <w:outlineLvl w:val="1"/>
        <w:rPr>
          <w:rFonts w:hint="eastAsia" w:ascii="黑体" w:eastAsia="黑体"/>
          <w:sz w:val="32"/>
          <w:szCs w:val="32"/>
          <w:lang w:eastAsia="zh-CN"/>
        </w:rPr>
      </w:pPr>
      <w:r>
        <w:rPr>
          <w:rFonts w:ascii="黑体" w:eastAsia="黑体"/>
          <w:sz w:val="32"/>
          <w:szCs w:val="32"/>
          <w:lang w:eastAsia="zh-CN"/>
        </w:rPr>
        <w:t>二、机构设置及人员情况</w:t>
      </w:r>
    </w:p>
    <w:p w14:paraId="51039FC7">
      <w:pPr>
        <w:spacing w:after="0" w:line="240" w:lineRule="auto"/>
        <w:ind w:firstLine="640" w:firstLineChars="200"/>
        <w:jc w:val="both"/>
        <w:rPr>
          <w:rFonts w:hint="eastAsia" w:ascii="仿宋_GB2312" w:eastAsia="仿宋_GB2312"/>
          <w:sz w:val="32"/>
          <w:szCs w:val="32"/>
          <w:lang w:eastAsia="zh-CN"/>
        </w:rPr>
      </w:pPr>
      <w:r>
        <w:rPr>
          <w:rFonts w:ascii="仿宋_GB2312" w:eastAsia="仿宋_GB2312"/>
          <w:sz w:val="32"/>
          <w:szCs w:val="32"/>
          <w:lang w:eastAsia="zh-CN"/>
        </w:rPr>
        <w:t>中国共产党乌鲁木齐市达坂城区政法委员会办公室2024年度，实有人数27人，其中：在职人员25人，增加6人；离休人员0人，较上年无变化；退休人员2人，较上年无变化</w:t>
      </w:r>
      <w:r>
        <w:rPr>
          <w:rFonts w:hint="eastAsia" w:ascii="仿宋_GB2312" w:eastAsia="仿宋_GB2312"/>
          <w:sz w:val="32"/>
          <w:szCs w:val="32"/>
          <w:lang w:eastAsia="zh-CN"/>
        </w:rPr>
        <w:t>。</w:t>
      </w:r>
    </w:p>
    <w:p w14:paraId="131579ED">
      <w:pPr>
        <w:spacing w:after="0" w:line="240" w:lineRule="auto"/>
        <w:ind w:firstLine="640" w:firstLineChars="200"/>
        <w:jc w:val="both"/>
        <w:rPr>
          <w:rFonts w:hint="eastAsia" w:ascii="仿宋_GB2312" w:eastAsia="仿宋_GB2312"/>
          <w:sz w:val="32"/>
          <w:szCs w:val="32"/>
          <w:lang w:eastAsia="zh-CN"/>
        </w:rPr>
      </w:pPr>
      <w:r>
        <w:rPr>
          <w:rFonts w:ascii="仿宋_GB2312" w:eastAsia="仿宋_GB2312"/>
          <w:sz w:val="32"/>
          <w:szCs w:val="32"/>
          <w:lang w:eastAsia="zh-CN"/>
        </w:rPr>
        <w:t>中国共产党乌鲁木齐市达坂城区政法委员会办公室无下属预算单位，下设6个</w:t>
      </w:r>
      <w:r>
        <w:rPr>
          <w:rFonts w:hint="eastAsia" w:ascii="仿宋_GB2312" w:eastAsia="仿宋_GB2312"/>
          <w:sz w:val="32"/>
          <w:szCs w:val="32"/>
          <w:lang w:eastAsia="zh-CN"/>
        </w:rPr>
        <w:t>科</w:t>
      </w:r>
      <w:r>
        <w:rPr>
          <w:rFonts w:ascii="仿宋_GB2312" w:eastAsia="仿宋_GB2312"/>
          <w:sz w:val="32"/>
          <w:szCs w:val="32"/>
          <w:lang w:eastAsia="zh-CN"/>
        </w:rPr>
        <w:t>室，分别是：办公室、网格办、财务室、流口办、综治办、指挥中心办公室。</w:t>
      </w:r>
    </w:p>
    <w:p w14:paraId="39F32A67">
      <w:pPr>
        <w:rPr>
          <w:rFonts w:hint="eastAsia"/>
          <w:lang w:eastAsia="zh-CN"/>
        </w:rPr>
      </w:pPr>
      <w:r>
        <w:rPr>
          <w:sz w:val="0"/>
          <w:szCs w:val="0"/>
          <w:lang w:eastAsia="zh-CN"/>
        </w:rPr>
        <w:br w:type="page"/>
      </w:r>
    </w:p>
    <w:p w14:paraId="40AE78D3">
      <w:pPr>
        <w:spacing w:after="0" w:line="240" w:lineRule="auto"/>
        <w:jc w:val="center"/>
        <w:outlineLvl w:val="0"/>
        <w:rPr>
          <w:rFonts w:hint="eastAsia" w:ascii="黑体" w:eastAsia="黑体"/>
          <w:sz w:val="32"/>
          <w:szCs w:val="32"/>
          <w:lang w:eastAsia="zh-CN"/>
        </w:rPr>
      </w:pPr>
      <w:r>
        <w:rPr>
          <w:rFonts w:ascii="黑体" w:eastAsia="黑体"/>
          <w:sz w:val="32"/>
          <w:szCs w:val="32"/>
          <w:lang w:eastAsia="zh-CN"/>
        </w:rPr>
        <w:t>第二部分 部门决算情况说明</w:t>
      </w:r>
    </w:p>
    <w:p w14:paraId="005E1477">
      <w:pPr>
        <w:spacing w:after="0" w:line="240" w:lineRule="auto"/>
        <w:ind w:firstLine="640" w:firstLineChars="200"/>
        <w:outlineLvl w:val="1"/>
        <w:rPr>
          <w:rFonts w:hint="eastAsia" w:ascii="黑体" w:eastAsia="黑体"/>
          <w:sz w:val="32"/>
          <w:szCs w:val="32"/>
          <w:lang w:eastAsia="zh-CN"/>
        </w:rPr>
      </w:pPr>
      <w:r>
        <w:rPr>
          <w:rFonts w:ascii="黑体" w:eastAsia="黑体"/>
          <w:sz w:val="32"/>
          <w:szCs w:val="32"/>
          <w:lang w:eastAsia="zh-CN"/>
        </w:rPr>
        <w:t>一、收入支出决算总体情况说明</w:t>
      </w:r>
    </w:p>
    <w:p w14:paraId="3443DC98">
      <w:pPr>
        <w:spacing w:after="0" w:line="240" w:lineRule="auto"/>
        <w:ind w:firstLine="640" w:firstLineChars="200"/>
        <w:jc w:val="both"/>
        <w:rPr>
          <w:rFonts w:hint="eastAsia" w:ascii="仿宋_GB2312" w:eastAsia="仿宋_GB2312"/>
          <w:sz w:val="32"/>
          <w:szCs w:val="32"/>
          <w:lang w:eastAsia="zh-CN"/>
        </w:rPr>
      </w:pPr>
      <w:r>
        <w:rPr>
          <w:rFonts w:ascii="仿宋_GB2312" w:eastAsia="仿宋_GB2312"/>
          <w:sz w:val="32"/>
          <w:szCs w:val="32"/>
          <w:lang w:eastAsia="zh-CN"/>
        </w:rPr>
        <w:t>2024年度收入总计654.50万元，其中：本年收入合计637.50万元，使用非财政拨款结余（含专用结余）0.00万元，年初结转和结余17.00万元。</w:t>
      </w:r>
    </w:p>
    <w:p w14:paraId="2A727203">
      <w:pPr>
        <w:spacing w:after="0" w:line="240" w:lineRule="auto"/>
        <w:ind w:firstLine="640" w:firstLineChars="200"/>
        <w:jc w:val="both"/>
        <w:rPr>
          <w:rFonts w:hint="eastAsia" w:ascii="仿宋_GB2312" w:eastAsia="仿宋_GB2312"/>
          <w:sz w:val="32"/>
          <w:szCs w:val="32"/>
          <w:lang w:eastAsia="zh-CN"/>
        </w:rPr>
      </w:pPr>
      <w:r>
        <w:rPr>
          <w:rFonts w:ascii="仿宋_GB2312" w:eastAsia="仿宋_GB2312"/>
          <w:sz w:val="32"/>
          <w:szCs w:val="32"/>
          <w:lang w:eastAsia="zh-CN"/>
        </w:rPr>
        <w:t>2024年度支出总计654.50万元，其中：本年支出合计637.71万元，结余分配0.00万元，年末结转和结余16.79万元。</w:t>
      </w:r>
    </w:p>
    <w:p w14:paraId="038CA733">
      <w:pPr>
        <w:spacing w:after="0" w:line="240" w:lineRule="auto"/>
        <w:ind w:firstLine="640" w:firstLineChars="200"/>
        <w:jc w:val="both"/>
        <w:rPr>
          <w:rFonts w:hint="eastAsia" w:ascii="仿宋_GB2312" w:eastAsia="仿宋_GB2312"/>
          <w:sz w:val="32"/>
          <w:szCs w:val="32"/>
          <w:lang w:eastAsia="zh-CN"/>
        </w:rPr>
      </w:pPr>
      <w:r>
        <w:rPr>
          <w:rFonts w:ascii="仿宋_GB2312" w:eastAsia="仿宋_GB2312"/>
          <w:sz w:val="32"/>
          <w:szCs w:val="32"/>
          <w:lang w:eastAsia="zh-CN"/>
        </w:rPr>
        <w:t>收入支出总体与上年相比，减少298.54万元，下降31.33%，主要原因是：本年减少政法委</w:t>
      </w:r>
      <w:r>
        <w:rPr>
          <w:rFonts w:hint="eastAsia" w:ascii="仿宋_GB2312" w:eastAsia="仿宋_GB2312"/>
          <w:sz w:val="32"/>
          <w:szCs w:val="32"/>
          <w:lang w:eastAsia="zh-CN"/>
        </w:rPr>
        <w:t>“</w:t>
      </w:r>
      <w:r>
        <w:rPr>
          <w:rFonts w:ascii="仿宋_GB2312" w:eastAsia="仿宋_GB2312"/>
          <w:sz w:val="32"/>
          <w:szCs w:val="32"/>
          <w:lang w:eastAsia="zh-CN"/>
        </w:rPr>
        <w:t>雪亮工程</w:t>
      </w:r>
      <w:r>
        <w:rPr>
          <w:rFonts w:hint="eastAsia" w:ascii="仿宋_GB2312" w:eastAsia="仿宋_GB2312"/>
          <w:sz w:val="32"/>
          <w:szCs w:val="32"/>
          <w:lang w:eastAsia="zh-CN"/>
        </w:rPr>
        <w:t>”</w:t>
      </w:r>
      <w:r>
        <w:rPr>
          <w:rFonts w:ascii="仿宋_GB2312" w:eastAsia="仿宋_GB2312"/>
          <w:sz w:val="32"/>
          <w:szCs w:val="32"/>
          <w:lang w:eastAsia="zh-CN"/>
        </w:rPr>
        <w:t>联网共享平台系统登记保护测评项目经费。</w:t>
      </w:r>
    </w:p>
    <w:p w14:paraId="45F6F54B">
      <w:pPr>
        <w:spacing w:after="0" w:line="240" w:lineRule="auto"/>
        <w:ind w:firstLine="640" w:firstLineChars="200"/>
        <w:outlineLvl w:val="1"/>
        <w:rPr>
          <w:rFonts w:hint="eastAsia" w:ascii="黑体" w:eastAsia="黑体"/>
          <w:sz w:val="32"/>
          <w:szCs w:val="32"/>
          <w:lang w:eastAsia="zh-CN"/>
        </w:rPr>
      </w:pPr>
      <w:r>
        <w:rPr>
          <w:rFonts w:ascii="黑体" w:eastAsia="黑体"/>
          <w:sz w:val="32"/>
          <w:szCs w:val="32"/>
          <w:lang w:eastAsia="zh-CN"/>
        </w:rPr>
        <w:t>二、收入决算情况说明</w:t>
      </w:r>
    </w:p>
    <w:p w14:paraId="2E2D06B4">
      <w:pPr>
        <w:spacing w:after="0" w:line="240" w:lineRule="auto"/>
        <w:ind w:firstLine="640" w:firstLineChars="200"/>
        <w:jc w:val="both"/>
        <w:rPr>
          <w:rFonts w:hint="eastAsia" w:ascii="仿宋_GB2312" w:eastAsia="仿宋_GB2312"/>
          <w:sz w:val="32"/>
          <w:szCs w:val="32"/>
          <w:lang w:eastAsia="zh-CN"/>
        </w:rPr>
      </w:pPr>
      <w:r>
        <w:rPr>
          <w:rFonts w:ascii="仿宋_GB2312" w:eastAsia="仿宋_GB2312"/>
          <w:sz w:val="32"/>
          <w:szCs w:val="32"/>
          <w:lang w:eastAsia="zh-CN"/>
        </w:rPr>
        <w:t>本年收入637.50万元，其中：财政拨款收入616.14万元,占96.65%；上级补助收入0.00万元,占0.00%；事业收入0.00万元，占0.00%；经营收入0.00万元,占0.00%；附属单位上缴收入0.00万元，占0.00%；其他收入21.36万元，占3.35%。</w:t>
      </w:r>
    </w:p>
    <w:p w14:paraId="1066F3AC">
      <w:pPr>
        <w:spacing w:after="0" w:line="240" w:lineRule="auto"/>
        <w:ind w:firstLine="640" w:firstLineChars="200"/>
        <w:outlineLvl w:val="1"/>
        <w:rPr>
          <w:rFonts w:hint="eastAsia" w:ascii="黑体" w:eastAsia="黑体"/>
          <w:sz w:val="32"/>
          <w:szCs w:val="32"/>
          <w:lang w:eastAsia="zh-CN"/>
        </w:rPr>
      </w:pPr>
      <w:r>
        <w:rPr>
          <w:rFonts w:ascii="黑体" w:eastAsia="黑体"/>
          <w:sz w:val="32"/>
          <w:szCs w:val="32"/>
          <w:lang w:eastAsia="zh-CN"/>
        </w:rPr>
        <w:t>三、支出决算情况说明</w:t>
      </w:r>
    </w:p>
    <w:p w14:paraId="589EBD83">
      <w:pPr>
        <w:spacing w:after="0" w:line="240" w:lineRule="auto"/>
        <w:ind w:firstLine="640" w:firstLineChars="200"/>
        <w:jc w:val="both"/>
        <w:rPr>
          <w:rFonts w:hint="eastAsia" w:ascii="仿宋_GB2312" w:eastAsia="仿宋_GB2312"/>
          <w:sz w:val="32"/>
          <w:szCs w:val="32"/>
          <w:lang w:eastAsia="zh-CN"/>
        </w:rPr>
      </w:pPr>
      <w:r>
        <w:rPr>
          <w:rFonts w:ascii="仿宋_GB2312" w:eastAsia="仿宋_GB2312"/>
          <w:sz w:val="32"/>
          <w:szCs w:val="32"/>
          <w:lang w:eastAsia="zh-CN"/>
        </w:rPr>
        <w:t>本年支出637.71万元，其中：基本支出380.90万元，占59.73%；项目支出256.81万元，占40.27%；上缴上级支出0.00万元，占0.00%；经营支出0.00万元，占0.00%；对附属单位补助支出0.00万元，占0.00%。</w:t>
      </w:r>
    </w:p>
    <w:p w14:paraId="5CD934FD">
      <w:pPr>
        <w:spacing w:after="0" w:line="240" w:lineRule="auto"/>
        <w:ind w:firstLine="640" w:firstLineChars="200"/>
        <w:outlineLvl w:val="1"/>
        <w:rPr>
          <w:rFonts w:hint="eastAsia" w:ascii="黑体" w:eastAsia="黑体"/>
          <w:sz w:val="32"/>
          <w:szCs w:val="32"/>
          <w:lang w:eastAsia="zh-CN"/>
        </w:rPr>
      </w:pPr>
      <w:r>
        <w:rPr>
          <w:rFonts w:ascii="黑体" w:eastAsia="黑体"/>
          <w:sz w:val="32"/>
          <w:szCs w:val="32"/>
          <w:lang w:eastAsia="zh-CN"/>
        </w:rPr>
        <w:t>四、财政拨款收入支出决算总体情况说明</w:t>
      </w:r>
    </w:p>
    <w:p w14:paraId="13D2A50E">
      <w:pPr>
        <w:spacing w:after="0" w:line="240" w:lineRule="auto"/>
        <w:ind w:firstLine="640" w:firstLineChars="200"/>
        <w:jc w:val="both"/>
        <w:rPr>
          <w:rFonts w:hint="eastAsia" w:ascii="仿宋_GB2312" w:eastAsia="仿宋_GB2312"/>
          <w:sz w:val="32"/>
          <w:szCs w:val="32"/>
          <w:lang w:eastAsia="zh-CN"/>
        </w:rPr>
      </w:pPr>
      <w:r>
        <w:rPr>
          <w:rFonts w:ascii="仿宋_GB2312" w:eastAsia="仿宋_GB2312"/>
          <w:sz w:val="32"/>
          <w:szCs w:val="32"/>
          <w:lang w:eastAsia="zh-CN"/>
        </w:rPr>
        <w:t>2024年度财政拨款收入总计619.52万元，其中：年初财政拨款结转和结余3.38万元，本年财政拨款收入616.14万元。财政拨款支出总计619.52万元，其中：年末财政拨款结转和结余3.38万元，本年财政拨款支出616.14万元。</w:t>
      </w:r>
    </w:p>
    <w:p w14:paraId="1312C715">
      <w:pPr>
        <w:spacing w:after="0" w:line="240" w:lineRule="auto"/>
        <w:ind w:firstLine="640" w:firstLineChars="200"/>
        <w:jc w:val="both"/>
        <w:rPr>
          <w:rFonts w:hint="eastAsia" w:ascii="仿宋_GB2312" w:eastAsia="仿宋_GB2312"/>
          <w:sz w:val="32"/>
          <w:szCs w:val="32"/>
          <w:lang w:eastAsia="zh-CN"/>
        </w:rPr>
      </w:pPr>
      <w:r>
        <w:rPr>
          <w:rFonts w:ascii="仿宋_GB2312" w:eastAsia="仿宋_GB2312"/>
          <w:sz w:val="32"/>
          <w:szCs w:val="32"/>
          <w:lang w:eastAsia="zh-CN"/>
        </w:rPr>
        <w:t>财政拨款收入支出总体与上年相比，减少219.03万元，下降26.12%，主要原因是：本年减少政法委</w:t>
      </w:r>
      <w:r>
        <w:rPr>
          <w:rFonts w:hint="eastAsia" w:ascii="仿宋_GB2312" w:eastAsia="仿宋_GB2312"/>
          <w:sz w:val="32"/>
          <w:szCs w:val="32"/>
          <w:lang w:eastAsia="zh-CN"/>
        </w:rPr>
        <w:t>“</w:t>
      </w:r>
      <w:r>
        <w:rPr>
          <w:rFonts w:ascii="仿宋_GB2312" w:eastAsia="仿宋_GB2312"/>
          <w:sz w:val="32"/>
          <w:szCs w:val="32"/>
          <w:lang w:eastAsia="zh-CN"/>
        </w:rPr>
        <w:t>雪亮工程</w:t>
      </w:r>
      <w:r>
        <w:rPr>
          <w:rFonts w:hint="eastAsia" w:ascii="仿宋_GB2312" w:eastAsia="仿宋_GB2312"/>
          <w:sz w:val="32"/>
          <w:szCs w:val="32"/>
          <w:lang w:eastAsia="zh-CN"/>
        </w:rPr>
        <w:t>”</w:t>
      </w:r>
      <w:r>
        <w:rPr>
          <w:rFonts w:ascii="仿宋_GB2312" w:eastAsia="仿宋_GB2312"/>
          <w:sz w:val="32"/>
          <w:szCs w:val="32"/>
          <w:lang w:eastAsia="zh-CN"/>
        </w:rPr>
        <w:t>联网共享平台系统登记保护测评项目经费。与年初预算相比，年初预算数341.28万元，决算数619.52万元，预决算差异率81.53%，主要原因是：</w:t>
      </w:r>
      <w:r>
        <w:rPr>
          <w:rFonts w:hint="eastAsia" w:ascii="仿宋_GB2312" w:eastAsia="仿宋_GB2312"/>
          <w:sz w:val="32"/>
          <w:szCs w:val="32"/>
          <w:lang w:eastAsia="zh-CN"/>
        </w:rPr>
        <w:t>年中追加</w:t>
      </w:r>
      <w:r>
        <w:rPr>
          <w:rFonts w:ascii="仿宋_GB2312" w:eastAsia="仿宋_GB2312"/>
          <w:sz w:val="32"/>
          <w:szCs w:val="32"/>
          <w:lang w:eastAsia="zh-CN"/>
        </w:rPr>
        <w:t>政法委解决拖欠中国电信股份有限公司达坂城分局链路服务费</w:t>
      </w:r>
      <w:r>
        <w:rPr>
          <w:rFonts w:hint="eastAsia" w:ascii="仿宋_GB2312" w:eastAsia="仿宋_GB2312"/>
          <w:sz w:val="32"/>
          <w:szCs w:val="32"/>
          <w:lang w:eastAsia="zh-CN"/>
        </w:rPr>
        <w:t>；单位人员增加，年中追加单位人员工资、津补贴等人员经费</w:t>
      </w:r>
      <w:r>
        <w:rPr>
          <w:rFonts w:ascii="仿宋_GB2312" w:eastAsia="仿宋_GB2312"/>
          <w:sz w:val="32"/>
          <w:szCs w:val="32"/>
          <w:lang w:eastAsia="zh-CN"/>
        </w:rPr>
        <w:t>。</w:t>
      </w:r>
    </w:p>
    <w:p w14:paraId="526C1E8F">
      <w:pPr>
        <w:spacing w:after="0" w:line="240" w:lineRule="auto"/>
        <w:ind w:firstLine="640" w:firstLineChars="200"/>
        <w:outlineLvl w:val="1"/>
        <w:rPr>
          <w:rFonts w:hint="eastAsia" w:ascii="黑体" w:eastAsia="黑体"/>
          <w:sz w:val="32"/>
          <w:szCs w:val="32"/>
          <w:lang w:eastAsia="zh-CN"/>
        </w:rPr>
      </w:pPr>
      <w:r>
        <w:rPr>
          <w:rFonts w:ascii="黑体" w:eastAsia="黑体"/>
          <w:sz w:val="32"/>
          <w:szCs w:val="32"/>
          <w:lang w:eastAsia="zh-CN"/>
        </w:rPr>
        <w:t>五、一般公共预算财政拨款支出决算情况说明</w:t>
      </w:r>
    </w:p>
    <w:p w14:paraId="18DD3B0E">
      <w:pPr>
        <w:spacing w:after="0" w:line="240" w:lineRule="auto"/>
        <w:ind w:firstLine="643" w:firstLineChars="200"/>
        <w:outlineLvl w:val="2"/>
        <w:rPr>
          <w:rFonts w:hint="eastAsia" w:ascii="黑体" w:eastAsia="黑体"/>
          <w:sz w:val="32"/>
          <w:szCs w:val="32"/>
          <w:lang w:eastAsia="zh-CN"/>
        </w:rPr>
      </w:pPr>
      <w:r>
        <w:rPr>
          <w:rFonts w:ascii="黑体" w:eastAsia="黑体"/>
          <w:b/>
          <w:sz w:val="32"/>
          <w:szCs w:val="32"/>
          <w:lang w:eastAsia="zh-CN"/>
        </w:rPr>
        <w:t>（一）一般公共预算财政拨款支出决算总体情况</w:t>
      </w:r>
    </w:p>
    <w:p w14:paraId="7A2F3929">
      <w:pPr>
        <w:spacing w:after="0" w:line="240" w:lineRule="auto"/>
        <w:ind w:firstLine="640" w:firstLineChars="200"/>
        <w:jc w:val="both"/>
        <w:rPr>
          <w:rFonts w:hint="eastAsia" w:ascii="仿宋_GB2312" w:eastAsia="仿宋_GB2312"/>
          <w:sz w:val="32"/>
          <w:szCs w:val="32"/>
          <w:lang w:eastAsia="zh-CN"/>
        </w:rPr>
      </w:pPr>
      <w:r>
        <w:rPr>
          <w:rFonts w:ascii="仿宋_GB2312" w:eastAsia="仿宋_GB2312"/>
          <w:sz w:val="32"/>
          <w:szCs w:val="32"/>
          <w:lang w:eastAsia="zh-CN"/>
        </w:rPr>
        <w:t>2024年度一般公共预算财政拨款支出616.14万元，占本年支出合计的96.62%。与上年相比，减少212.89万元，下降25.68%，主要原因是：本年减少政法委</w:t>
      </w:r>
      <w:r>
        <w:rPr>
          <w:rFonts w:hint="eastAsia" w:ascii="仿宋_GB2312" w:eastAsia="仿宋_GB2312"/>
          <w:sz w:val="32"/>
          <w:szCs w:val="32"/>
          <w:lang w:eastAsia="zh-CN"/>
        </w:rPr>
        <w:t>“</w:t>
      </w:r>
      <w:r>
        <w:rPr>
          <w:rFonts w:ascii="仿宋_GB2312" w:eastAsia="仿宋_GB2312"/>
          <w:sz w:val="32"/>
          <w:szCs w:val="32"/>
          <w:lang w:eastAsia="zh-CN"/>
        </w:rPr>
        <w:t>雪亮工程</w:t>
      </w:r>
      <w:r>
        <w:rPr>
          <w:rFonts w:hint="eastAsia" w:ascii="仿宋_GB2312" w:eastAsia="仿宋_GB2312"/>
          <w:sz w:val="32"/>
          <w:szCs w:val="32"/>
          <w:lang w:eastAsia="zh-CN"/>
        </w:rPr>
        <w:t>”</w:t>
      </w:r>
      <w:r>
        <w:rPr>
          <w:rFonts w:ascii="仿宋_GB2312" w:eastAsia="仿宋_GB2312"/>
          <w:sz w:val="32"/>
          <w:szCs w:val="32"/>
          <w:lang w:eastAsia="zh-CN"/>
        </w:rPr>
        <w:t>联网共享平台系统登记保护测评项目经费。与年初预算相比，年初预算数341.28万元，决算数616.14万元，预决算差异率80.54%，主要原因是：</w:t>
      </w:r>
      <w:r>
        <w:rPr>
          <w:rFonts w:hint="eastAsia" w:ascii="仿宋_GB2312" w:eastAsia="仿宋_GB2312"/>
          <w:sz w:val="32"/>
          <w:szCs w:val="32"/>
          <w:lang w:eastAsia="zh-CN"/>
        </w:rPr>
        <w:t>年中追加</w:t>
      </w:r>
      <w:r>
        <w:rPr>
          <w:rFonts w:ascii="仿宋_GB2312" w:eastAsia="仿宋_GB2312"/>
          <w:sz w:val="32"/>
          <w:szCs w:val="32"/>
          <w:lang w:eastAsia="zh-CN"/>
        </w:rPr>
        <w:t>政法委解决拖欠中国电信股份有限公司达坂城分局链路服务费</w:t>
      </w:r>
      <w:r>
        <w:rPr>
          <w:rFonts w:hint="eastAsia" w:ascii="仿宋_GB2312" w:eastAsia="仿宋_GB2312"/>
          <w:sz w:val="32"/>
          <w:szCs w:val="32"/>
          <w:lang w:eastAsia="zh-CN"/>
        </w:rPr>
        <w:t>；单位人员增加，年中追加单位人员工资、津补贴等人员经费</w:t>
      </w:r>
      <w:r>
        <w:rPr>
          <w:rFonts w:ascii="仿宋_GB2312" w:eastAsia="仿宋_GB2312"/>
          <w:sz w:val="32"/>
          <w:szCs w:val="32"/>
          <w:lang w:eastAsia="zh-CN"/>
        </w:rPr>
        <w:t>。</w:t>
      </w:r>
    </w:p>
    <w:p w14:paraId="00B0D921">
      <w:pPr>
        <w:spacing w:after="0" w:line="240" w:lineRule="auto"/>
        <w:ind w:firstLine="643" w:firstLineChars="200"/>
        <w:outlineLvl w:val="2"/>
        <w:rPr>
          <w:rFonts w:hint="eastAsia" w:ascii="黑体" w:eastAsia="黑体"/>
          <w:sz w:val="32"/>
          <w:szCs w:val="32"/>
          <w:lang w:eastAsia="zh-CN"/>
        </w:rPr>
      </w:pPr>
      <w:r>
        <w:rPr>
          <w:rFonts w:ascii="黑体" w:eastAsia="黑体"/>
          <w:b/>
          <w:sz w:val="32"/>
          <w:szCs w:val="32"/>
          <w:lang w:eastAsia="zh-CN"/>
        </w:rPr>
        <w:t>（二）一般公共预算财政拨款支出决算结构情况</w:t>
      </w:r>
    </w:p>
    <w:p w14:paraId="1B866496">
      <w:pPr>
        <w:spacing w:after="0" w:line="240" w:lineRule="auto"/>
        <w:ind w:firstLine="640" w:firstLineChars="200"/>
        <w:jc w:val="both"/>
        <w:rPr>
          <w:rFonts w:hint="eastAsia" w:ascii="仿宋_GB2312" w:eastAsia="仿宋_GB2312"/>
          <w:sz w:val="32"/>
          <w:szCs w:val="32"/>
          <w:lang w:eastAsia="zh-CN"/>
        </w:rPr>
      </w:pPr>
      <w:r>
        <w:rPr>
          <w:rFonts w:hint="eastAsia" w:ascii="仿宋_GB2312" w:eastAsia="仿宋_GB2312"/>
          <w:sz w:val="32"/>
          <w:szCs w:val="32"/>
          <w:lang w:eastAsia="zh-CN"/>
        </w:rPr>
        <w:t>1.</w:t>
      </w:r>
      <w:r>
        <w:rPr>
          <w:rFonts w:ascii="仿宋_GB2312" w:eastAsia="仿宋_GB2312"/>
          <w:sz w:val="32"/>
          <w:szCs w:val="32"/>
          <w:lang w:eastAsia="zh-CN"/>
        </w:rPr>
        <w:t>一般公共服务支出（类）348.47万元，占56.56%。</w:t>
      </w:r>
    </w:p>
    <w:p w14:paraId="0DCD9EAC">
      <w:pPr>
        <w:spacing w:after="0" w:line="240" w:lineRule="auto"/>
        <w:ind w:firstLine="640" w:firstLineChars="200"/>
        <w:jc w:val="both"/>
        <w:rPr>
          <w:rFonts w:hint="eastAsia" w:ascii="仿宋_GB2312" w:eastAsia="仿宋_GB2312"/>
          <w:sz w:val="32"/>
          <w:szCs w:val="32"/>
          <w:lang w:eastAsia="zh-CN"/>
        </w:rPr>
      </w:pPr>
      <w:r>
        <w:rPr>
          <w:rFonts w:hint="eastAsia" w:ascii="仿宋_GB2312" w:eastAsia="仿宋_GB2312"/>
          <w:sz w:val="32"/>
          <w:szCs w:val="32"/>
          <w:lang w:eastAsia="zh-CN"/>
        </w:rPr>
        <w:t>2.</w:t>
      </w:r>
      <w:r>
        <w:rPr>
          <w:rFonts w:ascii="仿宋_GB2312" w:eastAsia="仿宋_GB2312"/>
          <w:sz w:val="32"/>
          <w:szCs w:val="32"/>
          <w:lang w:eastAsia="zh-CN"/>
        </w:rPr>
        <w:t>公共安全支出（类）231.24万元，占37.53</w:t>
      </w:r>
    </w:p>
    <w:p w14:paraId="244CD2BD">
      <w:pPr>
        <w:spacing w:after="0" w:line="240" w:lineRule="auto"/>
        <w:ind w:firstLine="640" w:firstLineChars="200"/>
        <w:jc w:val="both"/>
        <w:rPr>
          <w:rFonts w:hint="eastAsia" w:ascii="仿宋_GB2312" w:eastAsia="仿宋_GB2312"/>
          <w:sz w:val="32"/>
          <w:szCs w:val="32"/>
          <w:lang w:eastAsia="zh-CN"/>
        </w:rPr>
      </w:pPr>
      <w:r>
        <w:rPr>
          <w:rFonts w:hint="eastAsia" w:ascii="仿宋_GB2312" w:eastAsia="仿宋_GB2312"/>
          <w:sz w:val="32"/>
          <w:szCs w:val="32"/>
          <w:lang w:eastAsia="zh-CN"/>
        </w:rPr>
        <w:t>3.</w:t>
      </w:r>
      <w:r>
        <w:rPr>
          <w:rFonts w:ascii="仿宋_GB2312" w:eastAsia="仿宋_GB2312"/>
          <w:sz w:val="32"/>
          <w:szCs w:val="32"/>
          <w:lang w:eastAsia="zh-CN"/>
        </w:rPr>
        <w:t>社会保障和就业支出（类）32.43万元，占5.26%。</w:t>
      </w:r>
    </w:p>
    <w:p w14:paraId="323D58DE">
      <w:pPr>
        <w:spacing w:after="0" w:line="240" w:lineRule="auto"/>
        <w:ind w:firstLine="640" w:firstLineChars="200"/>
        <w:jc w:val="both"/>
        <w:rPr>
          <w:rFonts w:hint="eastAsia" w:ascii="仿宋_GB2312" w:eastAsia="仿宋_GB2312"/>
          <w:sz w:val="32"/>
          <w:szCs w:val="32"/>
          <w:lang w:eastAsia="zh-CN"/>
        </w:rPr>
      </w:pPr>
      <w:r>
        <w:rPr>
          <w:rFonts w:hint="eastAsia" w:ascii="仿宋_GB2312" w:eastAsia="仿宋_GB2312"/>
          <w:sz w:val="32"/>
          <w:szCs w:val="32"/>
          <w:lang w:eastAsia="zh-CN"/>
        </w:rPr>
        <w:t>4.</w:t>
      </w:r>
      <w:r>
        <w:rPr>
          <w:rFonts w:ascii="仿宋_GB2312" w:eastAsia="仿宋_GB2312"/>
          <w:sz w:val="32"/>
          <w:szCs w:val="32"/>
          <w:lang w:eastAsia="zh-CN"/>
        </w:rPr>
        <w:t>交通运输支出（类）4.00万元，占0.65%。</w:t>
      </w:r>
    </w:p>
    <w:p w14:paraId="76870151">
      <w:pPr>
        <w:spacing w:after="0" w:line="240" w:lineRule="auto"/>
        <w:ind w:firstLine="643" w:firstLineChars="200"/>
        <w:outlineLvl w:val="2"/>
        <w:rPr>
          <w:rFonts w:hint="eastAsia" w:ascii="黑体" w:eastAsia="黑体"/>
          <w:sz w:val="32"/>
          <w:szCs w:val="32"/>
          <w:lang w:eastAsia="zh-CN"/>
        </w:rPr>
      </w:pPr>
      <w:r>
        <w:rPr>
          <w:rFonts w:ascii="黑体" w:eastAsia="黑体"/>
          <w:b/>
          <w:sz w:val="32"/>
          <w:szCs w:val="32"/>
          <w:lang w:eastAsia="zh-CN"/>
        </w:rPr>
        <w:t>（三）一般公共预算财政拨款支出决算具体情况</w:t>
      </w:r>
    </w:p>
    <w:p w14:paraId="344A7F9E">
      <w:pPr>
        <w:spacing w:after="0" w:line="240" w:lineRule="auto"/>
        <w:ind w:firstLine="640" w:firstLineChars="200"/>
        <w:rPr>
          <w:rFonts w:hint="eastAsia" w:ascii="仿宋_GB2312" w:eastAsia="仿宋_GB2312"/>
          <w:sz w:val="32"/>
          <w:szCs w:val="32"/>
          <w:lang w:eastAsia="zh-CN"/>
        </w:rPr>
      </w:pPr>
      <w:r>
        <w:rPr>
          <w:rFonts w:ascii="仿宋_GB2312" w:eastAsia="仿宋_GB2312"/>
          <w:sz w:val="32"/>
          <w:szCs w:val="32"/>
          <w:lang w:eastAsia="zh-CN"/>
        </w:rPr>
        <w:t>1、一般公共服务支出（类）人大事务（款）一般行政管理事务（项）：支出决算数为0.00万元，比上年决算减少261.70万元，下降100.00%，主要原因是：</w:t>
      </w:r>
      <w:r>
        <w:rPr>
          <w:rFonts w:hint="eastAsia" w:ascii="仿宋_GB2312" w:eastAsia="仿宋_GB2312"/>
          <w:sz w:val="32"/>
          <w:szCs w:val="32"/>
          <w:lang w:eastAsia="zh-CN"/>
        </w:rPr>
        <w:t>本年单位无一体化</w:t>
      </w:r>
      <w:r>
        <w:rPr>
          <w:rFonts w:ascii="仿宋_GB2312" w:eastAsia="仿宋_GB2312"/>
          <w:sz w:val="32"/>
          <w:szCs w:val="32"/>
          <w:lang w:eastAsia="zh-CN"/>
        </w:rPr>
        <w:t>LHZZPT项目。</w:t>
      </w:r>
    </w:p>
    <w:p w14:paraId="290EA3F2">
      <w:pPr>
        <w:spacing w:after="0" w:line="240" w:lineRule="auto"/>
        <w:ind w:firstLine="640" w:firstLineChars="200"/>
        <w:rPr>
          <w:rFonts w:hint="eastAsia" w:ascii="仿宋_GB2312" w:eastAsia="仿宋_GB2312"/>
          <w:sz w:val="32"/>
          <w:szCs w:val="32"/>
          <w:lang w:eastAsia="zh-CN"/>
        </w:rPr>
      </w:pPr>
      <w:r>
        <w:rPr>
          <w:rFonts w:ascii="仿宋_GB2312" w:eastAsia="仿宋_GB2312"/>
          <w:sz w:val="32"/>
          <w:szCs w:val="32"/>
          <w:lang w:eastAsia="zh-CN"/>
        </w:rPr>
        <w:t>2、一般公共服务支出（类）民族事务（款）行政运行（项）：支出决算数为0.00万元，比上年决算减少1.00万元，下降100.00%，主要原因是：</w:t>
      </w:r>
      <w:r>
        <w:rPr>
          <w:rFonts w:hint="eastAsia" w:ascii="仿宋_GB2312" w:eastAsia="仿宋_GB2312"/>
          <w:sz w:val="32"/>
          <w:szCs w:val="32"/>
          <w:lang w:eastAsia="zh-CN"/>
        </w:rPr>
        <w:t>上年往本科目调剂1万元</w:t>
      </w:r>
      <w:r>
        <w:rPr>
          <w:rFonts w:ascii="仿宋_GB2312" w:eastAsia="仿宋_GB2312"/>
          <w:sz w:val="32"/>
          <w:szCs w:val="32"/>
          <w:lang w:eastAsia="zh-CN"/>
        </w:rPr>
        <w:t>政法委联合办公大楼电费</w:t>
      </w:r>
      <w:r>
        <w:rPr>
          <w:rFonts w:hint="eastAsia" w:ascii="仿宋_GB2312" w:eastAsia="仿宋_GB2312"/>
          <w:sz w:val="32"/>
          <w:szCs w:val="32"/>
          <w:lang w:eastAsia="zh-CN"/>
        </w:rPr>
        <w:t>，本年未用此科目列支相关经费</w:t>
      </w:r>
      <w:r>
        <w:rPr>
          <w:rFonts w:ascii="仿宋_GB2312" w:eastAsia="仿宋_GB2312"/>
          <w:sz w:val="32"/>
          <w:szCs w:val="32"/>
          <w:lang w:eastAsia="zh-CN"/>
        </w:rPr>
        <w:t>。</w:t>
      </w:r>
    </w:p>
    <w:p w14:paraId="31B442B2">
      <w:pPr>
        <w:spacing w:after="0" w:line="240" w:lineRule="auto"/>
        <w:ind w:firstLine="640" w:firstLineChars="200"/>
        <w:rPr>
          <w:rFonts w:hint="eastAsia" w:ascii="仿宋_GB2312" w:eastAsia="仿宋_GB2312"/>
          <w:sz w:val="32"/>
          <w:szCs w:val="32"/>
          <w:lang w:eastAsia="zh-CN"/>
        </w:rPr>
      </w:pPr>
      <w:r>
        <w:rPr>
          <w:rFonts w:ascii="仿宋_GB2312" w:eastAsia="仿宋_GB2312"/>
          <w:sz w:val="32"/>
          <w:szCs w:val="32"/>
          <w:lang w:eastAsia="zh-CN"/>
        </w:rPr>
        <w:t>3、一般公共服务支出（类）统战事务（款）行政运行（项）：支出决算数为0.00万元，比上年决算减少1.00万元，下降100.00%，主要原因是：</w:t>
      </w:r>
      <w:r>
        <w:rPr>
          <w:rFonts w:hint="eastAsia" w:ascii="仿宋_GB2312" w:eastAsia="仿宋_GB2312"/>
          <w:sz w:val="32"/>
          <w:szCs w:val="32"/>
          <w:lang w:eastAsia="zh-CN"/>
        </w:rPr>
        <w:t>上年往本科目调剂1万元</w:t>
      </w:r>
      <w:r>
        <w:rPr>
          <w:rFonts w:ascii="仿宋_GB2312" w:eastAsia="仿宋_GB2312"/>
          <w:sz w:val="32"/>
          <w:szCs w:val="32"/>
          <w:lang w:eastAsia="zh-CN"/>
        </w:rPr>
        <w:t>政法委联合办公大楼电费</w:t>
      </w:r>
      <w:r>
        <w:rPr>
          <w:rFonts w:hint="eastAsia" w:ascii="仿宋_GB2312" w:eastAsia="仿宋_GB2312"/>
          <w:sz w:val="32"/>
          <w:szCs w:val="32"/>
          <w:lang w:eastAsia="zh-CN"/>
        </w:rPr>
        <w:t>，本年未用此科目列支相关经费</w:t>
      </w:r>
      <w:r>
        <w:rPr>
          <w:rFonts w:ascii="仿宋_GB2312" w:eastAsia="仿宋_GB2312"/>
          <w:sz w:val="32"/>
          <w:szCs w:val="32"/>
          <w:lang w:eastAsia="zh-CN"/>
        </w:rPr>
        <w:t>。</w:t>
      </w:r>
    </w:p>
    <w:p w14:paraId="6B6F80F3">
      <w:pPr>
        <w:spacing w:after="0" w:line="240" w:lineRule="auto"/>
        <w:ind w:firstLine="640" w:firstLineChars="200"/>
        <w:rPr>
          <w:rFonts w:hint="eastAsia" w:ascii="仿宋_GB2312" w:eastAsia="仿宋_GB2312"/>
          <w:sz w:val="32"/>
          <w:szCs w:val="32"/>
          <w:lang w:eastAsia="zh-CN"/>
        </w:rPr>
      </w:pPr>
      <w:r>
        <w:rPr>
          <w:rFonts w:ascii="仿宋_GB2312" w:eastAsia="仿宋_GB2312"/>
          <w:sz w:val="32"/>
          <w:szCs w:val="32"/>
          <w:lang w:eastAsia="zh-CN"/>
        </w:rPr>
        <w:t>4、一般公共服务支出（类）统战事务（款）华侨事务（项）：支出决算数为0.00万元，比上年决算减少0.20万元，下降100.00%，主要原因是：</w:t>
      </w:r>
      <w:r>
        <w:rPr>
          <w:rFonts w:hint="eastAsia" w:ascii="仿宋_GB2312" w:eastAsia="仿宋_GB2312"/>
          <w:sz w:val="32"/>
          <w:szCs w:val="32"/>
          <w:lang w:eastAsia="zh-CN"/>
        </w:rPr>
        <w:t>上年往本科目调剂0.20万元</w:t>
      </w:r>
      <w:r>
        <w:rPr>
          <w:rFonts w:ascii="仿宋_GB2312" w:eastAsia="仿宋_GB2312"/>
          <w:sz w:val="32"/>
          <w:szCs w:val="32"/>
          <w:lang w:eastAsia="zh-CN"/>
        </w:rPr>
        <w:t>政法委联合办公大楼电费</w:t>
      </w:r>
      <w:r>
        <w:rPr>
          <w:rFonts w:hint="eastAsia" w:ascii="仿宋_GB2312" w:eastAsia="仿宋_GB2312"/>
          <w:sz w:val="32"/>
          <w:szCs w:val="32"/>
          <w:lang w:eastAsia="zh-CN"/>
        </w:rPr>
        <w:t>，本年未用此科目列支相关经费</w:t>
      </w:r>
      <w:r>
        <w:rPr>
          <w:rFonts w:ascii="仿宋_GB2312" w:eastAsia="仿宋_GB2312"/>
          <w:sz w:val="32"/>
          <w:szCs w:val="32"/>
          <w:lang w:eastAsia="zh-CN"/>
        </w:rPr>
        <w:t>。</w:t>
      </w:r>
    </w:p>
    <w:p w14:paraId="2FB2E5C3">
      <w:pPr>
        <w:spacing w:after="0" w:line="240" w:lineRule="auto"/>
        <w:ind w:firstLine="640" w:firstLineChars="200"/>
        <w:rPr>
          <w:rFonts w:hint="eastAsia" w:ascii="仿宋_GB2312" w:eastAsia="仿宋_GB2312"/>
          <w:sz w:val="32"/>
          <w:szCs w:val="32"/>
          <w:lang w:eastAsia="zh-CN"/>
        </w:rPr>
      </w:pPr>
      <w:r>
        <w:rPr>
          <w:rFonts w:ascii="仿宋_GB2312" w:eastAsia="仿宋_GB2312"/>
          <w:sz w:val="32"/>
          <w:szCs w:val="32"/>
          <w:lang w:eastAsia="zh-CN"/>
        </w:rPr>
        <w:t>5、一般公共服务支出（类）其他共产党事务支出（款）行政运行（项）：支出决算数为86.11万元，比上年决算增加5.53万元，增长6.86%，主要原因是：</w:t>
      </w:r>
      <w:r>
        <w:rPr>
          <w:rFonts w:hint="eastAsia" w:ascii="仿宋_GB2312" w:eastAsia="仿宋_GB2312"/>
          <w:sz w:val="32"/>
          <w:szCs w:val="32"/>
          <w:lang w:eastAsia="zh-CN"/>
        </w:rPr>
        <w:t>本年单位人员增加，人员工资、津补贴、住房公积金等相关人员经费较上年增加</w:t>
      </w:r>
      <w:r>
        <w:rPr>
          <w:rFonts w:ascii="仿宋_GB2312" w:eastAsia="仿宋_GB2312"/>
          <w:sz w:val="32"/>
          <w:szCs w:val="32"/>
          <w:lang w:eastAsia="zh-CN"/>
        </w:rPr>
        <w:t>。</w:t>
      </w:r>
    </w:p>
    <w:p w14:paraId="7D252A80">
      <w:pPr>
        <w:spacing w:after="0" w:line="240" w:lineRule="auto"/>
        <w:ind w:firstLine="640" w:firstLineChars="200"/>
        <w:rPr>
          <w:rFonts w:hint="eastAsia" w:ascii="仿宋_GB2312" w:eastAsia="仿宋_GB2312"/>
          <w:sz w:val="32"/>
          <w:szCs w:val="32"/>
          <w:lang w:eastAsia="zh-CN"/>
        </w:rPr>
      </w:pPr>
      <w:r>
        <w:rPr>
          <w:rFonts w:ascii="仿宋_GB2312" w:eastAsia="仿宋_GB2312"/>
          <w:sz w:val="32"/>
          <w:szCs w:val="32"/>
          <w:lang w:eastAsia="zh-CN"/>
        </w:rPr>
        <w:t>6、一般公共服务支出（类）其他共产党事务支出（款）一般行政管理事务（项）：支出决算数为0.00万元，比上年决算减少4.74万元，下降100.00%，主要原因是：</w:t>
      </w:r>
      <w:r>
        <w:rPr>
          <w:rFonts w:hint="eastAsia" w:ascii="仿宋_GB2312" w:eastAsia="仿宋_GB2312"/>
          <w:sz w:val="32"/>
          <w:szCs w:val="32"/>
          <w:lang w:eastAsia="zh-CN"/>
        </w:rPr>
        <w:t>本年无上级领导</w:t>
      </w:r>
      <w:r>
        <w:rPr>
          <w:rFonts w:ascii="仿宋_GB2312" w:eastAsia="仿宋_GB2312"/>
          <w:sz w:val="32"/>
          <w:szCs w:val="32"/>
          <w:lang w:eastAsia="zh-CN"/>
        </w:rPr>
        <w:t>调研督导组接待</w:t>
      </w:r>
      <w:r>
        <w:rPr>
          <w:rFonts w:hint="eastAsia" w:ascii="仿宋_GB2312" w:eastAsia="仿宋_GB2312"/>
          <w:sz w:val="32"/>
          <w:szCs w:val="32"/>
          <w:lang w:eastAsia="zh-CN"/>
        </w:rPr>
        <w:t>经费</w:t>
      </w:r>
      <w:r>
        <w:rPr>
          <w:rFonts w:ascii="仿宋_GB2312" w:eastAsia="仿宋_GB2312"/>
          <w:sz w:val="32"/>
          <w:szCs w:val="32"/>
          <w:lang w:eastAsia="zh-CN"/>
        </w:rPr>
        <w:t>。</w:t>
      </w:r>
    </w:p>
    <w:p w14:paraId="15DC6757">
      <w:pPr>
        <w:spacing w:after="0" w:line="240" w:lineRule="auto"/>
        <w:ind w:firstLine="640" w:firstLineChars="200"/>
        <w:rPr>
          <w:rFonts w:hint="eastAsia" w:ascii="仿宋_GB2312" w:eastAsia="仿宋_GB2312"/>
          <w:sz w:val="32"/>
          <w:szCs w:val="32"/>
          <w:lang w:eastAsia="zh-CN"/>
        </w:rPr>
      </w:pPr>
      <w:r>
        <w:rPr>
          <w:rFonts w:ascii="仿宋_GB2312" w:eastAsia="仿宋_GB2312"/>
          <w:sz w:val="32"/>
          <w:szCs w:val="32"/>
          <w:lang w:eastAsia="zh-CN"/>
        </w:rPr>
        <w:t>7、一般公共服务支出（类）其他共产党事务支出（款）事业运行（项）：支出决算数为262.36万元，比上年决算增加41.92万元，增长19.02%，主要原因是：</w:t>
      </w:r>
      <w:r>
        <w:rPr>
          <w:rFonts w:hint="eastAsia" w:ascii="仿宋_GB2312" w:eastAsia="仿宋_GB2312"/>
          <w:sz w:val="32"/>
          <w:szCs w:val="32"/>
          <w:lang w:eastAsia="zh-CN"/>
        </w:rPr>
        <w:t>本年单位人员增加，人员工资、津补贴、住房公积金等相关人员经费较上年增加</w:t>
      </w:r>
      <w:r>
        <w:rPr>
          <w:rFonts w:ascii="仿宋_GB2312" w:eastAsia="仿宋_GB2312"/>
          <w:sz w:val="32"/>
          <w:szCs w:val="32"/>
          <w:lang w:eastAsia="zh-CN"/>
        </w:rPr>
        <w:t>。</w:t>
      </w:r>
    </w:p>
    <w:p w14:paraId="43752B61">
      <w:pPr>
        <w:spacing w:after="0" w:line="240" w:lineRule="auto"/>
        <w:ind w:firstLine="640" w:firstLineChars="200"/>
        <w:rPr>
          <w:rFonts w:hint="eastAsia" w:ascii="仿宋_GB2312" w:eastAsia="仿宋_GB2312"/>
          <w:sz w:val="32"/>
          <w:szCs w:val="32"/>
          <w:lang w:eastAsia="zh-CN"/>
        </w:rPr>
      </w:pPr>
      <w:r>
        <w:rPr>
          <w:rFonts w:ascii="仿宋_GB2312" w:eastAsia="仿宋_GB2312"/>
          <w:sz w:val="32"/>
          <w:szCs w:val="32"/>
          <w:lang w:eastAsia="zh-CN"/>
        </w:rPr>
        <w:t>8、公共安全支出（类）公安（款）信息化建设（项）：支出决算数为176.24万元，比上年决算增加176.24万元，增长100.00%，主要原因是：</w:t>
      </w:r>
      <w:r>
        <w:rPr>
          <w:rFonts w:hint="eastAsia" w:ascii="仿宋_GB2312" w:eastAsia="仿宋_GB2312"/>
          <w:sz w:val="32"/>
          <w:szCs w:val="32"/>
          <w:lang w:eastAsia="zh-CN"/>
        </w:rPr>
        <w:t>本年增加</w:t>
      </w:r>
      <w:r>
        <w:rPr>
          <w:rFonts w:ascii="仿宋_GB2312" w:eastAsia="仿宋_GB2312"/>
          <w:sz w:val="32"/>
          <w:szCs w:val="32"/>
          <w:lang w:eastAsia="zh-CN"/>
        </w:rPr>
        <w:t>政法委解决拖欠中国电信股份有限公司达坂城分局链路服务费</w:t>
      </w:r>
      <w:r>
        <w:rPr>
          <w:rFonts w:hint="eastAsia" w:ascii="仿宋_GB2312" w:eastAsia="仿宋_GB2312"/>
          <w:sz w:val="32"/>
          <w:szCs w:val="32"/>
          <w:lang w:eastAsia="zh-CN"/>
        </w:rPr>
        <w:t>。</w:t>
      </w:r>
    </w:p>
    <w:p w14:paraId="010DF99D">
      <w:pPr>
        <w:spacing w:after="0" w:line="240" w:lineRule="auto"/>
        <w:ind w:firstLine="640" w:firstLineChars="200"/>
        <w:rPr>
          <w:rFonts w:hint="eastAsia" w:ascii="仿宋_GB2312" w:eastAsia="仿宋_GB2312"/>
          <w:sz w:val="32"/>
          <w:szCs w:val="32"/>
          <w:lang w:eastAsia="zh-CN"/>
        </w:rPr>
      </w:pPr>
      <w:r>
        <w:rPr>
          <w:rFonts w:ascii="仿宋_GB2312" w:eastAsia="仿宋_GB2312"/>
          <w:sz w:val="32"/>
          <w:szCs w:val="32"/>
          <w:lang w:eastAsia="zh-CN"/>
        </w:rPr>
        <w:t>9、公共安全支出（类）司法（款）行政运行（项）：支出决算数为0.00万元，比上年决算减少2.00万元，下降100.00%，主要原因是：</w:t>
      </w:r>
      <w:r>
        <w:rPr>
          <w:rFonts w:hint="eastAsia" w:ascii="仿宋_GB2312" w:eastAsia="仿宋_GB2312"/>
          <w:sz w:val="32"/>
          <w:szCs w:val="32"/>
          <w:lang w:eastAsia="zh-CN"/>
        </w:rPr>
        <w:t>上年往本科目调剂2.00万元</w:t>
      </w:r>
      <w:r>
        <w:rPr>
          <w:rFonts w:ascii="仿宋_GB2312" w:eastAsia="仿宋_GB2312"/>
          <w:sz w:val="32"/>
          <w:szCs w:val="32"/>
          <w:lang w:eastAsia="zh-CN"/>
        </w:rPr>
        <w:t>政法委联合办公大楼电费</w:t>
      </w:r>
      <w:r>
        <w:rPr>
          <w:rFonts w:hint="eastAsia" w:ascii="仿宋_GB2312" w:eastAsia="仿宋_GB2312"/>
          <w:sz w:val="32"/>
          <w:szCs w:val="32"/>
          <w:lang w:eastAsia="zh-CN"/>
        </w:rPr>
        <w:t>，本年未用此科目列支相关经费</w:t>
      </w:r>
      <w:r>
        <w:rPr>
          <w:rFonts w:ascii="仿宋_GB2312" w:eastAsia="仿宋_GB2312"/>
          <w:sz w:val="32"/>
          <w:szCs w:val="32"/>
          <w:lang w:eastAsia="zh-CN"/>
        </w:rPr>
        <w:t>。</w:t>
      </w:r>
    </w:p>
    <w:p w14:paraId="102DB98E">
      <w:pPr>
        <w:spacing w:after="0" w:line="240" w:lineRule="auto"/>
        <w:ind w:firstLine="640" w:firstLineChars="200"/>
        <w:rPr>
          <w:rFonts w:hint="eastAsia" w:ascii="仿宋_GB2312" w:eastAsia="仿宋_GB2312"/>
          <w:sz w:val="32"/>
          <w:szCs w:val="32"/>
          <w:lang w:eastAsia="zh-CN"/>
        </w:rPr>
      </w:pPr>
      <w:r>
        <w:rPr>
          <w:rFonts w:ascii="仿宋_GB2312" w:eastAsia="仿宋_GB2312"/>
          <w:sz w:val="32"/>
          <w:szCs w:val="32"/>
          <w:lang w:eastAsia="zh-CN"/>
        </w:rPr>
        <w:t>10、公共安全支出（类）监狱（款）狱政设施建设（项）：支出决算数为55.00万元，比上年决算增加55.00万元，增长100.00%，主要原因是：</w:t>
      </w:r>
      <w:r>
        <w:rPr>
          <w:rFonts w:hint="eastAsia" w:ascii="仿宋_GB2312" w:eastAsia="仿宋_GB2312"/>
          <w:sz w:val="32"/>
          <w:szCs w:val="32"/>
          <w:lang w:eastAsia="zh-CN"/>
        </w:rPr>
        <w:t>本年增加</w:t>
      </w:r>
      <w:r>
        <w:rPr>
          <w:rFonts w:ascii="仿宋_GB2312" w:eastAsia="仿宋_GB2312"/>
          <w:sz w:val="32"/>
          <w:szCs w:val="32"/>
          <w:lang w:eastAsia="zh-CN"/>
        </w:rPr>
        <w:t>达坂城监狱宣教馆建设费用。</w:t>
      </w:r>
    </w:p>
    <w:p w14:paraId="453434EF">
      <w:pPr>
        <w:spacing w:after="0" w:line="240" w:lineRule="auto"/>
        <w:ind w:firstLine="640" w:firstLineChars="200"/>
        <w:rPr>
          <w:rFonts w:hint="eastAsia" w:ascii="仿宋_GB2312" w:eastAsia="仿宋_GB2312"/>
          <w:sz w:val="32"/>
          <w:szCs w:val="32"/>
          <w:lang w:eastAsia="zh-CN"/>
        </w:rPr>
      </w:pPr>
      <w:r>
        <w:rPr>
          <w:rFonts w:ascii="仿宋_GB2312" w:eastAsia="仿宋_GB2312"/>
          <w:sz w:val="32"/>
          <w:szCs w:val="32"/>
          <w:lang w:eastAsia="zh-CN"/>
        </w:rPr>
        <w:t>11、公共安全支出（类）其他公共安全支出（款）其他公共安全支出（项）：支出决算数为0.00万元，比上年决算减少8.90万元，下降100.00%，主要原因是：</w:t>
      </w:r>
      <w:r>
        <w:rPr>
          <w:rFonts w:hint="eastAsia" w:ascii="仿宋_GB2312" w:eastAsia="仿宋_GB2312"/>
          <w:sz w:val="32"/>
          <w:szCs w:val="32"/>
          <w:lang w:eastAsia="zh-CN"/>
        </w:rPr>
        <w:t>本年无</w:t>
      </w:r>
      <w:r>
        <w:rPr>
          <w:rFonts w:ascii="仿宋_GB2312" w:eastAsia="仿宋_GB2312"/>
          <w:sz w:val="32"/>
          <w:szCs w:val="32"/>
          <w:lang w:eastAsia="zh-CN"/>
        </w:rPr>
        <w:t>严重精神障碍患者监护人“以奖代补”专项经费。</w:t>
      </w:r>
    </w:p>
    <w:p w14:paraId="7EDF8A93">
      <w:pPr>
        <w:spacing w:after="0" w:line="240" w:lineRule="auto"/>
        <w:ind w:firstLine="640" w:firstLineChars="200"/>
        <w:rPr>
          <w:rFonts w:hint="eastAsia" w:ascii="仿宋_GB2312" w:eastAsia="仿宋_GB2312"/>
          <w:sz w:val="32"/>
          <w:szCs w:val="32"/>
          <w:lang w:eastAsia="zh-CN"/>
        </w:rPr>
      </w:pPr>
      <w:r>
        <w:rPr>
          <w:rFonts w:ascii="仿宋_GB2312" w:eastAsia="仿宋_GB2312"/>
          <w:sz w:val="32"/>
          <w:szCs w:val="32"/>
          <w:lang w:eastAsia="zh-CN"/>
        </w:rPr>
        <w:t>12、科学技术支出（类）科技条件与服务（款）其他科技条件与服务支出（项）：支出决算数为0.00万元，比上年决算减少174.46万元，下降100.00%，主要原因是：</w:t>
      </w:r>
      <w:r>
        <w:rPr>
          <w:rFonts w:hint="eastAsia" w:ascii="仿宋_GB2312" w:eastAsia="仿宋_GB2312"/>
          <w:sz w:val="32"/>
          <w:szCs w:val="32"/>
          <w:lang w:eastAsia="zh-CN"/>
        </w:rPr>
        <w:t>本年无</w:t>
      </w:r>
      <w:r>
        <w:rPr>
          <w:rFonts w:ascii="仿宋_GB2312" w:eastAsia="仿宋_GB2312"/>
          <w:sz w:val="32"/>
          <w:szCs w:val="32"/>
          <w:lang w:eastAsia="zh-CN"/>
        </w:rPr>
        <w:t>达坂城区</w:t>
      </w:r>
      <w:r>
        <w:rPr>
          <w:rFonts w:hint="eastAsia" w:ascii="仿宋_GB2312" w:eastAsia="仿宋_GB2312"/>
          <w:sz w:val="32"/>
          <w:szCs w:val="32"/>
          <w:lang w:eastAsia="zh-CN"/>
        </w:rPr>
        <w:t>一体化</w:t>
      </w:r>
      <w:r>
        <w:rPr>
          <w:rFonts w:ascii="仿宋_GB2312" w:eastAsia="仿宋_GB2312"/>
          <w:sz w:val="32"/>
          <w:szCs w:val="32"/>
          <w:lang w:eastAsia="zh-CN"/>
        </w:rPr>
        <w:t>LHZZPT二期建设项目</w:t>
      </w:r>
      <w:r>
        <w:rPr>
          <w:rFonts w:hint="eastAsia" w:ascii="仿宋_GB2312" w:eastAsia="仿宋_GB2312"/>
          <w:sz w:val="32"/>
          <w:szCs w:val="32"/>
          <w:lang w:eastAsia="zh-CN"/>
        </w:rPr>
        <w:t>经费</w:t>
      </w:r>
      <w:r>
        <w:rPr>
          <w:rFonts w:ascii="仿宋_GB2312" w:eastAsia="仿宋_GB2312"/>
          <w:sz w:val="32"/>
          <w:szCs w:val="32"/>
          <w:lang w:eastAsia="zh-CN"/>
        </w:rPr>
        <w:t>。</w:t>
      </w:r>
    </w:p>
    <w:p w14:paraId="60D43884">
      <w:pPr>
        <w:spacing w:after="0" w:line="240" w:lineRule="auto"/>
        <w:ind w:firstLine="640" w:firstLineChars="200"/>
        <w:rPr>
          <w:rFonts w:hint="eastAsia" w:ascii="仿宋_GB2312" w:eastAsia="仿宋_GB2312"/>
          <w:sz w:val="32"/>
          <w:szCs w:val="32"/>
          <w:lang w:eastAsia="zh-CN"/>
        </w:rPr>
      </w:pPr>
      <w:r>
        <w:rPr>
          <w:rFonts w:ascii="仿宋_GB2312" w:eastAsia="仿宋_GB2312"/>
          <w:sz w:val="32"/>
          <w:szCs w:val="32"/>
          <w:lang w:eastAsia="zh-CN"/>
        </w:rPr>
        <w:t>13、科学技术支出（类）其他科学技术支出（款）其他科学技术支出（项）：支出决算数为0.00万元，比上年决算减少45.80万元，下降100.00%，主要原因是：</w:t>
      </w:r>
      <w:r>
        <w:rPr>
          <w:rFonts w:hint="eastAsia" w:ascii="仿宋_GB2312" w:eastAsia="仿宋_GB2312"/>
          <w:sz w:val="32"/>
          <w:szCs w:val="32"/>
          <w:lang w:eastAsia="zh-CN"/>
        </w:rPr>
        <w:t>本年无“</w:t>
      </w:r>
      <w:r>
        <w:rPr>
          <w:rFonts w:ascii="仿宋_GB2312" w:eastAsia="仿宋_GB2312"/>
          <w:sz w:val="32"/>
          <w:szCs w:val="32"/>
          <w:lang w:eastAsia="zh-CN"/>
        </w:rPr>
        <w:t>雪亮工程</w:t>
      </w:r>
      <w:r>
        <w:rPr>
          <w:rFonts w:hint="eastAsia" w:ascii="仿宋_GB2312" w:eastAsia="仿宋_GB2312"/>
          <w:sz w:val="32"/>
          <w:szCs w:val="32"/>
          <w:lang w:eastAsia="zh-CN"/>
        </w:rPr>
        <w:t>”</w:t>
      </w:r>
      <w:r>
        <w:rPr>
          <w:rFonts w:ascii="仿宋_GB2312" w:eastAsia="仿宋_GB2312"/>
          <w:sz w:val="32"/>
          <w:szCs w:val="32"/>
          <w:lang w:eastAsia="zh-CN"/>
        </w:rPr>
        <w:t>联网共享平台系统登记保护测评项目经费。</w:t>
      </w:r>
    </w:p>
    <w:p w14:paraId="4888F765">
      <w:pPr>
        <w:spacing w:after="0" w:line="240" w:lineRule="auto"/>
        <w:ind w:firstLine="640" w:firstLineChars="200"/>
        <w:rPr>
          <w:rFonts w:hint="eastAsia" w:ascii="仿宋_GB2312" w:eastAsia="仿宋_GB2312"/>
          <w:sz w:val="32"/>
          <w:szCs w:val="32"/>
          <w:lang w:eastAsia="zh-CN"/>
        </w:rPr>
      </w:pPr>
      <w:r>
        <w:rPr>
          <w:rFonts w:ascii="仿宋_GB2312" w:eastAsia="仿宋_GB2312"/>
          <w:sz w:val="32"/>
          <w:szCs w:val="32"/>
          <w:lang w:eastAsia="zh-CN"/>
        </w:rPr>
        <w:t>14、社会保障和就业支出（类）行政事业单位养老支出（款）行政单位离退休（项）：支出决算数为0.00万元，比上年决算减少0.15万元，下降100.00%，主要原因是：</w:t>
      </w:r>
      <w:r>
        <w:rPr>
          <w:rFonts w:hint="eastAsia" w:ascii="仿宋_GB2312" w:eastAsia="仿宋_GB2312"/>
          <w:sz w:val="32"/>
          <w:szCs w:val="32"/>
          <w:lang w:eastAsia="zh-CN"/>
        </w:rPr>
        <w:t>单位科目调整，本年将退休人员退休费调整至行政运行科目反映</w:t>
      </w:r>
      <w:r>
        <w:rPr>
          <w:rFonts w:ascii="仿宋_GB2312" w:eastAsia="仿宋_GB2312"/>
          <w:sz w:val="32"/>
          <w:szCs w:val="32"/>
          <w:lang w:eastAsia="zh-CN"/>
        </w:rPr>
        <w:t>。</w:t>
      </w:r>
    </w:p>
    <w:p w14:paraId="4987B68E">
      <w:pPr>
        <w:spacing w:after="0" w:line="240" w:lineRule="auto"/>
        <w:ind w:firstLine="640" w:firstLineChars="200"/>
        <w:rPr>
          <w:rFonts w:hint="eastAsia" w:ascii="仿宋_GB2312" w:eastAsia="仿宋_GB2312"/>
          <w:sz w:val="32"/>
          <w:szCs w:val="32"/>
          <w:lang w:eastAsia="zh-CN"/>
        </w:rPr>
      </w:pPr>
      <w:r>
        <w:rPr>
          <w:rFonts w:ascii="仿宋_GB2312" w:eastAsia="仿宋_GB2312"/>
          <w:sz w:val="32"/>
          <w:szCs w:val="32"/>
          <w:lang w:eastAsia="zh-CN"/>
        </w:rPr>
        <w:t>15、社会保障和就业支出（类）行政事业单位养老支出（款）机关事业单位基本养老保险缴费支出（项）：支出决算数为32.43万元，比上年决算增加5.38万元，增长19.89%，主要原因是：</w:t>
      </w:r>
      <w:r>
        <w:rPr>
          <w:rFonts w:hint="eastAsia" w:ascii="仿宋_GB2312" w:eastAsia="仿宋_GB2312"/>
          <w:sz w:val="32"/>
          <w:szCs w:val="32"/>
          <w:lang w:eastAsia="zh-CN"/>
        </w:rPr>
        <w:t>单位人员增加，人员</w:t>
      </w:r>
      <w:r>
        <w:rPr>
          <w:rFonts w:ascii="仿宋_GB2312" w:eastAsia="仿宋_GB2312"/>
          <w:sz w:val="32"/>
          <w:szCs w:val="32"/>
          <w:lang w:eastAsia="zh-CN"/>
        </w:rPr>
        <w:t>养老保险缴费</w:t>
      </w:r>
      <w:r>
        <w:rPr>
          <w:rFonts w:hint="eastAsia" w:ascii="仿宋_GB2312" w:eastAsia="仿宋_GB2312"/>
          <w:sz w:val="32"/>
          <w:szCs w:val="32"/>
          <w:lang w:eastAsia="zh-CN"/>
        </w:rPr>
        <w:t>增加</w:t>
      </w:r>
      <w:r>
        <w:rPr>
          <w:rFonts w:ascii="仿宋_GB2312" w:eastAsia="仿宋_GB2312"/>
          <w:sz w:val="32"/>
          <w:szCs w:val="32"/>
          <w:lang w:eastAsia="zh-CN"/>
        </w:rPr>
        <w:t>。</w:t>
      </w:r>
    </w:p>
    <w:p w14:paraId="76734FC2">
      <w:pPr>
        <w:spacing w:after="0" w:line="240" w:lineRule="auto"/>
        <w:ind w:firstLine="640" w:firstLineChars="200"/>
        <w:rPr>
          <w:rFonts w:hint="eastAsia" w:ascii="仿宋_GB2312" w:eastAsia="仿宋_GB2312"/>
          <w:sz w:val="32"/>
          <w:szCs w:val="32"/>
          <w:lang w:eastAsia="zh-CN"/>
        </w:rPr>
      </w:pPr>
      <w:r>
        <w:rPr>
          <w:rFonts w:ascii="仿宋_GB2312" w:eastAsia="仿宋_GB2312"/>
          <w:sz w:val="32"/>
          <w:szCs w:val="32"/>
          <w:lang w:eastAsia="zh-CN"/>
        </w:rPr>
        <w:t>16、社会保障和就业支出（类）红十字事业（款）行政运行（项）：支出决算数为0.00万元，比上年决算减少1.00万元，下降100.00%，主要原因是：</w:t>
      </w:r>
      <w:r>
        <w:rPr>
          <w:rFonts w:hint="eastAsia" w:ascii="仿宋_GB2312" w:eastAsia="仿宋_GB2312"/>
          <w:sz w:val="32"/>
          <w:szCs w:val="32"/>
          <w:lang w:eastAsia="zh-CN"/>
        </w:rPr>
        <w:t>上年往本科目调剂1.00万元</w:t>
      </w:r>
      <w:r>
        <w:rPr>
          <w:rFonts w:ascii="仿宋_GB2312" w:eastAsia="仿宋_GB2312"/>
          <w:sz w:val="32"/>
          <w:szCs w:val="32"/>
          <w:lang w:eastAsia="zh-CN"/>
        </w:rPr>
        <w:t>政法委联合办公大楼电费</w:t>
      </w:r>
      <w:r>
        <w:rPr>
          <w:rFonts w:hint="eastAsia" w:ascii="仿宋_GB2312" w:eastAsia="仿宋_GB2312"/>
          <w:sz w:val="32"/>
          <w:szCs w:val="32"/>
          <w:lang w:eastAsia="zh-CN"/>
        </w:rPr>
        <w:t>，本年未用此科目列支相关经费。</w:t>
      </w:r>
    </w:p>
    <w:p w14:paraId="40C7AE14">
      <w:pPr>
        <w:spacing w:after="0" w:line="240" w:lineRule="auto"/>
        <w:ind w:firstLine="640" w:firstLineChars="200"/>
        <w:rPr>
          <w:rFonts w:hint="eastAsia" w:ascii="仿宋_GB2312" w:eastAsia="仿宋_GB2312"/>
          <w:sz w:val="32"/>
          <w:szCs w:val="32"/>
          <w:lang w:eastAsia="zh-CN"/>
        </w:rPr>
      </w:pPr>
      <w:r>
        <w:rPr>
          <w:rFonts w:ascii="仿宋_GB2312" w:eastAsia="仿宋_GB2312"/>
          <w:sz w:val="32"/>
          <w:szCs w:val="32"/>
          <w:lang w:eastAsia="zh-CN"/>
        </w:rPr>
        <w:t>17、交通运输支出（类）其他交通运输支出（款）其他交通运输支出（项）：支出决算数为4.00万元，比上年决算增加4.00万元，增长100.00%，主要原因是：</w:t>
      </w:r>
      <w:r>
        <w:rPr>
          <w:rFonts w:hint="eastAsia" w:ascii="仿宋_GB2312" w:eastAsia="仿宋_GB2312"/>
          <w:sz w:val="32"/>
          <w:szCs w:val="32"/>
          <w:lang w:eastAsia="zh-CN"/>
        </w:rPr>
        <w:t>本年增加</w:t>
      </w:r>
      <w:r>
        <w:rPr>
          <w:rFonts w:ascii="仿宋_GB2312" w:eastAsia="仿宋_GB2312"/>
          <w:sz w:val="32"/>
          <w:szCs w:val="32"/>
          <w:lang w:eastAsia="zh-CN"/>
        </w:rPr>
        <w:t>交警大队冬季</w:t>
      </w:r>
      <w:r>
        <w:rPr>
          <w:rFonts w:hint="eastAsia" w:ascii="仿宋_GB2312" w:eastAsia="仿宋_GB2312"/>
          <w:sz w:val="32"/>
          <w:szCs w:val="32"/>
          <w:lang w:eastAsia="zh-CN"/>
        </w:rPr>
        <w:t>物资</w:t>
      </w:r>
      <w:r>
        <w:rPr>
          <w:rFonts w:ascii="仿宋_GB2312" w:eastAsia="仿宋_GB2312"/>
          <w:sz w:val="32"/>
          <w:szCs w:val="32"/>
          <w:lang w:eastAsia="zh-CN"/>
        </w:rPr>
        <w:t>被装</w:t>
      </w:r>
      <w:r>
        <w:rPr>
          <w:rFonts w:hint="eastAsia" w:ascii="仿宋_GB2312" w:eastAsia="仿宋_GB2312"/>
          <w:sz w:val="32"/>
          <w:szCs w:val="32"/>
          <w:lang w:eastAsia="zh-CN"/>
        </w:rPr>
        <w:t>购置经费</w:t>
      </w:r>
      <w:r>
        <w:rPr>
          <w:rFonts w:ascii="仿宋_GB2312" w:eastAsia="仿宋_GB2312"/>
          <w:sz w:val="32"/>
          <w:szCs w:val="32"/>
          <w:lang w:eastAsia="zh-CN"/>
        </w:rPr>
        <w:t>。</w:t>
      </w:r>
    </w:p>
    <w:p w14:paraId="476DFE9F">
      <w:pPr>
        <w:spacing w:after="0" w:line="240" w:lineRule="auto"/>
        <w:ind w:firstLine="640" w:firstLineChars="200"/>
        <w:outlineLvl w:val="1"/>
        <w:rPr>
          <w:rFonts w:hint="eastAsia" w:ascii="黑体" w:eastAsia="黑体"/>
          <w:sz w:val="32"/>
          <w:szCs w:val="32"/>
          <w:lang w:eastAsia="zh-CN"/>
        </w:rPr>
      </w:pPr>
      <w:r>
        <w:rPr>
          <w:rFonts w:ascii="黑体" w:eastAsia="黑体"/>
          <w:sz w:val="32"/>
          <w:szCs w:val="32"/>
          <w:lang w:eastAsia="zh-CN"/>
        </w:rPr>
        <w:t>六、一般公共预算财政拨款基本支出决算情况说明</w:t>
      </w:r>
    </w:p>
    <w:p w14:paraId="61CDECEE">
      <w:pPr>
        <w:spacing w:after="0" w:line="240" w:lineRule="auto"/>
        <w:ind w:firstLine="640" w:firstLineChars="200"/>
        <w:jc w:val="both"/>
        <w:rPr>
          <w:rFonts w:hint="eastAsia" w:ascii="仿宋_GB2312" w:eastAsia="仿宋_GB2312"/>
          <w:sz w:val="32"/>
          <w:szCs w:val="32"/>
          <w:lang w:eastAsia="zh-CN"/>
        </w:rPr>
      </w:pPr>
      <w:r>
        <w:rPr>
          <w:rFonts w:ascii="仿宋_GB2312" w:eastAsia="仿宋_GB2312"/>
          <w:sz w:val="32"/>
          <w:szCs w:val="32"/>
          <w:lang w:eastAsia="zh-CN"/>
        </w:rPr>
        <w:t>2024年度一般公共预算财政拨款基本支出380.90万元，其中：人员经费352.15万元，包括：基本工资、津贴补贴、奖金、绩效工资、机关事业单位基本养老保险缴费、职业年金缴费、职工基本医疗保险缴费、公务员医疗补助缴费、其他社会保障缴费、住房公积金、退休费和奖励金。</w:t>
      </w:r>
    </w:p>
    <w:p w14:paraId="34075821">
      <w:pPr>
        <w:spacing w:after="0" w:line="240" w:lineRule="auto"/>
        <w:ind w:firstLine="640" w:firstLineChars="200"/>
        <w:jc w:val="both"/>
        <w:rPr>
          <w:rFonts w:hint="eastAsia" w:ascii="仿宋_GB2312" w:eastAsia="仿宋_GB2312"/>
          <w:sz w:val="32"/>
          <w:szCs w:val="32"/>
          <w:lang w:eastAsia="zh-CN"/>
        </w:rPr>
      </w:pPr>
      <w:r>
        <w:rPr>
          <w:rFonts w:ascii="仿宋_GB2312" w:eastAsia="仿宋_GB2312"/>
          <w:sz w:val="32"/>
          <w:szCs w:val="32"/>
          <w:lang w:eastAsia="zh-CN"/>
        </w:rPr>
        <w:t>公用经费28.75万元，包括：办公费、水费、电费、邮电费、差旅费、工会经费、福利费、其他交通费用和其他商品和服务支出。</w:t>
      </w:r>
    </w:p>
    <w:p w14:paraId="18CCB286">
      <w:pPr>
        <w:spacing w:after="0" w:line="240" w:lineRule="auto"/>
        <w:ind w:firstLine="640" w:firstLineChars="200"/>
        <w:outlineLvl w:val="1"/>
        <w:rPr>
          <w:rFonts w:hint="eastAsia" w:ascii="黑体" w:eastAsia="黑体"/>
          <w:sz w:val="32"/>
          <w:szCs w:val="32"/>
          <w:lang w:eastAsia="zh-CN"/>
        </w:rPr>
      </w:pPr>
      <w:r>
        <w:rPr>
          <w:rFonts w:ascii="黑体" w:eastAsia="黑体"/>
          <w:sz w:val="32"/>
          <w:szCs w:val="32"/>
          <w:lang w:eastAsia="zh-CN"/>
        </w:rPr>
        <w:t>七、政府性基金预算财政拨款收入支出决算情况说明</w:t>
      </w:r>
    </w:p>
    <w:p w14:paraId="7FE96B8F">
      <w:pPr>
        <w:spacing w:after="0" w:line="240" w:lineRule="auto"/>
        <w:ind w:firstLine="640" w:firstLineChars="200"/>
        <w:jc w:val="both"/>
        <w:rPr>
          <w:rFonts w:hint="eastAsia" w:ascii="仿宋_GB2312" w:eastAsia="仿宋_GB2312"/>
          <w:sz w:val="32"/>
          <w:szCs w:val="32"/>
          <w:lang w:eastAsia="zh-CN"/>
        </w:rPr>
      </w:pPr>
      <w:r>
        <w:rPr>
          <w:rFonts w:ascii="仿宋_GB2312" w:eastAsia="仿宋_GB2312"/>
          <w:sz w:val="32"/>
          <w:szCs w:val="32"/>
          <w:lang w:eastAsia="zh-CN"/>
        </w:rPr>
        <w:t>本单位本年度无政府性基金预算财政拨款收入、支出及结转和结余，政府性基金预算财政拨款收入支出决算表为空表。</w:t>
      </w:r>
    </w:p>
    <w:p w14:paraId="38D04596">
      <w:pPr>
        <w:spacing w:after="0" w:line="240" w:lineRule="auto"/>
        <w:ind w:firstLine="640" w:firstLineChars="200"/>
        <w:outlineLvl w:val="1"/>
        <w:rPr>
          <w:rFonts w:hint="eastAsia" w:ascii="黑体" w:eastAsia="黑体"/>
          <w:sz w:val="32"/>
          <w:szCs w:val="32"/>
          <w:lang w:eastAsia="zh-CN"/>
        </w:rPr>
      </w:pPr>
      <w:r>
        <w:rPr>
          <w:rFonts w:ascii="黑体" w:eastAsia="黑体"/>
          <w:sz w:val="32"/>
          <w:szCs w:val="32"/>
          <w:lang w:eastAsia="zh-CN"/>
        </w:rPr>
        <w:t>八、国有资本经营预算财政拨款收入支出决算情况说明</w:t>
      </w:r>
    </w:p>
    <w:p w14:paraId="290A500E">
      <w:pPr>
        <w:spacing w:after="0" w:line="240" w:lineRule="auto"/>
        <w:ind w:firstLine="640" w:firstLineChars="200"/>
        <w:jc w:val="both"/>
        <w:rPr>
          <w:rFonts w:hint="eastAsia" w:ascii="仿宋_GB2312" w:eastAsia="仿宋_GB2312"/>
          <w:sz w:val="32"/>
          <w:szCs w:val="32"/>
          <w:lang w:eastAsia="zh-CN"/>
        </w:rPr>
      </w:pPr>
      <w:r>
        <w:rPr>
          <w:rFonts w:ascii="仿宋_GB2312" w:eastAsia="仿宋_GB2312"/>
          <w:sz w:val="32"/>
          <w:szCs w:val="32"/>
          <w:lang w:eastAsia="zh-CN"/>
        </w:rPr>
        <w:t>本单位本年度无国有资本经营预算财政拨款收入、支出及结转和结余，国有资本经营预算财政拨款收入支出决算表为空表。</w:t>
      </w:r>
    </w:p>
    <w:p w14:paraId="0BADE448">
      <w:pPr>
        <w:spacing w:after="0" w:line="240" w:lineRule="auto"/>
        <w:ind w:firstLine="640" w:firstLineChars="200"/>
        <w:outlineLvl w:val="1"/>
        <w:rPr>
          <w:rFonts w:hint="eastAsia" w:ascii="黑体" w:eastAsia="黑体"/>
          <w:sz w:val="32"/>
          <w:szCs w:val="32"/>
          <w:lang w:eastAsia="zh-CN"/>
        </w:rPr>
      </w:pPr>
      <w:r>
        <w:rPr>
          <w:rFonts w:ascii="黑体" w:eastAsia="黑体"/>
          <w:sz w:val="32"/>
          <w:szCs w:val="32"/>
          <w:lang w:eastAsia="zh-CN"/>
        </w:rPr>
        <w:t>九、财政拨款“三公”经费支出决算情况说明</w:t>
      </w:r>
    </w:p>
    <w:p w14:paraId="291B64AA">
      <w:pPr>
        <w:spacing w:after="0" w:line="240" w:lineRule="auto"/>
        <w:ind w:firstLine="640" w:firstLineChars="200"/>
        <w:jc w:val="both"/>
        <w:rPr>
          <w:rFonts w:hint="eastAsia" w:ascii="仿宋_GB2312" w:eastAsia="仿宋_GB2312"/>
          <w:sz w:val="32"/>
          <w:szCs w:val="32"/>
          <w:lang w:eastAsia="zh-CN"/>
        </w:rPr>
      </w:pPr>
      <w:r>
        <w:rPr>
          <w:rFonts w:ascii="仿宋_GB2312" w:eastAsia="仿宋_GB2312"/>
          <w:sz w:val="32"/>
          <w:szCs w:val="32"/>
          <w:lang w:eastAsia="zh-CN"/>
        </w:rPr>
        <w:t>2024年度财政拨款“三公”经费支出0.00万元，与上年相比无变化，主要原因是：</w:t>
      </w:r>
      <w:r>
        <w:rPr>
          <w:rFonts w:hint="eastAsia" w:ascii="仿宋_GB2312" w:eastAsia="仿宋_GB2312"/>
          <w:sz w:val="32"/>
          <w:szCs w:val="32"/>
          <w:lang w:eastAsia="zh-CN"/>
        </w:rPr>
        <w:t>我单位上年度与本年度均无此项经费</w:t>
      </w:r>
      <w:r>
        <w:rPr>
          <w:rFonts w:ascii="仿宋_GB2312" w:eastAsia="仿宋_GB2312"/>
          <w:sz w:val="32"/>
          <w:szCs w:val="32"/>
          <w:lang w:eastAsia="zh-CN"/>
        </w:rPr>
        <w:t>。其中：因公出国（境）费支出0.00万元,占0.00%，与上年相比无变化，主要原因是：</w:t>
      </w:r>
      <w:r>
        <w:rPr>
          <w:rFonts w:hint="eastAsia" w:ascii="仿宋_GB2312" w:eastAsia="仿宋_GB2312"/>
          <w:sz w:val="32"/>
          <w:szCs w:val="32"/>
          <w:lang w:eastAsia="zh-CN"/>
        </w:rPr>
        <w:t>我单位上年度与本年度均无此项经费</w:t>
      </w:r>
      <w:r>
        <w:rPr>
          <w:rFonts w:ascii="仿宋_GB2312" w:eastAsia="仿宋_GB2312"/>
          <w:sz w:val="32"/>
          <w:szCs w:val="32"/>
          <w:lang w:eastAsia="zh-CN"/>
        </w:rPr>
        <w:t>；公务用车购置及运行维护费支出0.00万元，占0.00%，与上年相比无变化，主要原因是：</w:t>
      </w:r>
      <w:r>
        <w:rPr>
          <w:rFonts w:hint="eastAsia" w:ascii="仿宋_GB2312" w:eastAsia="仿宋_GB2312"/>
          <w:sz w:val="32"/>
          <w:szCs w:val="32"/>
          <w:lang w:eastAsia="zh-CN"/>
        </w:rPr>
        <w:t>我单位上年度与本年度均无此项经费</w:t>
      </w:r>
      <w:r>
        <w:rPr>
          <w:rFonts w:ascii="仿宋_GB2312" w:eastAsia="仿宋_GB2312"/>
          <w:sz w:val="32"/>
          <w:szCs w:val="32"/>
          <w:lang w:eastAsia="zh-CN"/>
        </w:rPr>
        <w:t>；公务接待费支出0.00万元，占0.00%，与上年相比无变化，主要原因是：</w:t>
      </w:r>
      <w:r>
        <w:rPr>
          <w:rFonts w:hint="eastAsia" w:ascii="仿宋_GB2312" w:eastAsia="仿宋_GB2312"/>
          <w:sz w:val="32"/>
          <w:szCs w:val="32"/>
          <w:lang w:eastAsia="zh-CN"/>
        </w:rPr>
        <w:t>我单位上年度与本年度均无此项经费</w:t>
      </w:r>
      <w:r>
        <w:rPr>
          <w:rFonts w:ascii="仿宋_GB2312" w:eastAsia="仿宋_GB2312"/>
          <w:sz w:val="32"/>
          <w:szCs w:val="32"/>
          <w:lang w:eastAsia="zh-CN"/>
        </w:rPr>
        <w:t>。</w:t>
      </w:r>
    </w:p>
    <w:p w14:paraId="1AF1A4AD">
      <w:pPr>
        <w:spacing w:after="0" w:line="240" w:lineRule="auto"/>
        <w:ind w:firstLine="640" w:firstLineChars="200"/>
        <w:rPr>
          <w:rFonts w:hint="eastAsia" w:ascii="仿宋_GB2312" w:eastAsia="仿宋_GB2312"/>
          <w:sz w:val="32"/>
          <w:szCs w:val="32"/>
          <w:lang w:eastAsia="zh-CN"/>
        </w:rPr>
      </w:pPr>
      <w:r>
        <w:rPr>
          <w:rFonts w:ascii="仿宋_GB2312" w:eastAsia="仿宋_GB2312"/>
          <w:sz w:val="32"/>
          <w:szCs w:val="32"/>
          <w:lang w:eastAsia="zh-CN"/>
        </w:rPr>
        <w:t>具体情况如下：</w:t>
      </w:r>
    </w:p>
    <w:p w14:paraId="43474F4C">
      <w:pPr>
        <w:ind w:firstLine="640" w:firstLineChars="200"/>
        <w:outlineLvl w:val="2"/>
        <w:rPr>
          <w:rFonts w:hint="eastAsia" w:ascii="仿宋_GB2312" w:eastAsia="仿宋_GB2312"/>
          <w:sz w:val="32"/>
          <w:szCs w:val="32"/>
          <w:lang w:eastAsia="zh-CN"/>
        </w:rPr>
      </w:pPr>
      <w:bookmarkStart w:id="0" w:name="_Hlk207140309"/>
      <w:r>
        <w:rPr>
          <w:rFonts w:ascii="仿宋_GB2312" w:eastAsia="仿宋_GB2312"/>
          <w:sz w:val="32"/>
          <w:szCs w:val="32"/>
          <w:lang w:eastAsia="zh-CN"/>
        </w:rPr>
        <w:t>因公出国（境）费</w:t>
      </w:r>
      <w:bookmarkEnd w:id="0"/>
      <w:r>
        <w:rPr>
          <w:rFonts w:ascii="仿宋_GB2312" w:eastAsia="仿宋_GB2312"/>
          <w:sz w:val="32"/>
          <w:szCs w:val="32"/>
          <w:lang w:eastAsia="zh-CN"/>
        </w:rPr>
        <w:t>支出0.00万元，开支内容包括</w:t>
      </w:r>
      <w:r>
        <w:rPr>
          <w:rFonts w:hint="eastAsia" w:ascii="仿宋_GB2312" w:eastAsia="仿宋_GB2312"/>
          <w:sz w:val="32"/>
          <w:szCs w:val="32"/>
          <w:lang w:eastAsia="zh-CN"/>
        </w:rPr>
        <w:t>单位本年无</w:t>
      </w:r>
      <w:r>
        <w:rPr>
          <w:rFonts w:ascii="仿宋_GB2312" w:eastAsia="仿宋_GB2312"/>
          <w:sz w:val="32"/>
          <w:szCs w:val="32"/>
          <w:lang w:eastAsia="zh-CN"/>
        </w:rPr>
        <w:t>因公出国（境）费。单位全年安排的因公出国（境）团组0个，因公出国（境）0人次。</w:t>
      </w:r>
    </w:p>
    <w:p w14:paraId="21B9F745">
      <w:pPr>
        <w:spacing w:after="0" w:line="240" w:lineRule="auto"/>
        <w:ind w:firstLine="640" w:firstLineChars="200"/>
        <w:jc w:val="both"/>
        <w:rPr>
          <w:rFonts w:hint="eastAsia" w:ascii="仿宋_GB2312" w:eastAsia="仿宋_GB2312"/>
          <w:sz w:val="32"/>
          <w:szCs w:val="32"/>
          <w:lang w:eastAsia="zh-CN"/>
        </w:rPr>
      </w:pPr>
      <w:bookmarkStart w:id="1" w:name="_Hlk207140348"/>
      <w:r>
        <w:rPr>
          <w:rFonts w:ascii="仿宋_GB2312" w:eastAsia="仿宋_GB2312"/>
          <w:sz w:val="32"/>
          <w:szCs w:val="32"/>
          <w:lang w:eastAsia="zh-CN"/>
        </w:rPr>
        <w:t>公务用车购置及运行维护费</w:t>
      </w:r>
      <w:bookmarkEnd w:id="1"/>
      <w:r>
        <w:rPr>
          <w:rFonts w:ascii="仿宋_GB2312" w:eastAsia="仿宋_GB2312"/>
          <w:sz w:val="32"/>
          <w:szCs w:val="32"/>
          <w:lang w:eastAsia="zh-CN"/>
        </w:rPr>
        <w:t>0.00万元，其中：公务用车购置费0.00万元，公务用车运行维护费0.00万元。公务用车运行维护费开支内容包括</w:t>
      </w:r>
      <w:r>
        <w:rPr>
          <w:rFonts w:hint="eastAsia" w:ascii="仿宋_GB2312" w:eastAsia="仿宋_GB2312"/>
          <w:sz w:val="32"/>
          <w:szCs w:val="32"/>
          <w:lang w:eastAsia="zh-CN"/>
        </w:rPr>
        <w:t>单位本年无</w:t>
      </w:r>
      <w:r>
        <w:rPr>
          <w:rFonts w:ascii="仿宋_GB2312" w:eastAsia="仿宋_GB2312"/>
          <w:sz w:val="32"/>
          <w:szCs w:val="32"/>
          <w:lang w:eastAsia="zh-CN"/>
        </w:rPr>
        <w:t>公务用车</w:t>
      </w:r>
      <w:bookmarkStart w:id="5" w:name="_GoBack"/>
      <w:bookmarkEnd w:id="5"/>
      <w:r>
        <w:rPr>
          <w:rFonts w:ascii="仿宋_GB2312" w:eastAsia="仿宋_GB2312"/>
          <w:sz w:val="32"/>
          <w:szCs w:val="32"/>
          <w:lang w:eastAsia="zh-CN"/>
        </w:rPr>
        <w:t>运行维护费。公务用车购置数0辆，公务用车保有量0辆。国有资产占用情况中固定资产车辆4辆，与公务用车保有量差异原因是：</w:t>
      </w:r>
      <w:r>
        <w:rPr>
          <w:rFonts w:hint="eastAsia" w:ascii="仿宋_GB2312" w:eastAsia="仿宋_GB2312"/>
          <w:sz w:val="32"/>
          <w:szCs w:val="32"/>
          <w:lang w:eastAsia="zh-CN"/>
        </w:rPr>
        <w:t>单位车辆由机关事务管理中心统一管理</w:t>
      </w:r>
      <w:r>
        <w:rPr>
          <w:rFonts w:ascii="仿宋_GB2312" w:eastAsia="仿宋_GB2312"/>
          <w:sz w:val="32"/>
          <w:szCs w:val="32"/>
          <w:lang w:eastAsia="zh-CN"/>
        </w:rPr>
        <w:t>。</w:t>
      </w:r>
    </w:p>
    <w:p w14:paraId="764FD1AD">
      <w:pPr>
        <w:spacing w:after="0" w:line="240" w:lineRule="auto"/>
        <w:ind w:firstLine="640" w:firstLineChars="200"/>
        <w:jc w:val="both"/>
        <w:rPr>
          <w:rFonts w:hint="eastAsia" w:ascii="仿宋_GB2312" w:eastAsia="仿宋_GB2312"/>
          <w:sz w:val="32"/>
          <w:szCs w:val="32"/>
          <w:lang w:eastAsia="zh-CN"/>
        </w:rPr>
      </w:pPr>
      <w:bookmarkStart w:id="2" w:name="_Hlk207140425"/>
      <w:r>
        <w:rPr>
          <w:rFonts w:ascii="仿宋_GB2312" w:eastAsia="仿宋_GB2312"/>
          <w:sz w:val="32"/>
          <w:szCs w:val="32"/>
          <w:lang w:eastAsia="zh-CN"/>
        </w:rPr>
        <w:t>公务接待费</w:t>
      </w:r>
      <w:bookmarkEnd w:id="2"/>
      <w:r>
        <w:rPr>
          <w:rFonts w:ascii="仿宋_GB2312" w:eastAsia="仿宋_GB2312"/>
          <w:sz w:val="32"/>
          <w:szCs w:val="32"/>
          <w:lang w:eastAsia="zh-CN"/>
        </w:rPr>
        <w:t>0.00万元，开支内容包括</w:t>
      </w:r>
      <w:r>
        <w:rPr>
          <w:rFonts w:hint="eastAsia" w:ascii="仿宋_GB2312" w:eastAsia="仿宋_GB2312"/>
          <w:sz w:val="32"/>
          <w:szCs w:val="32"/>
          <w:lang w:eastAsia="zh-CN"/>
        </w:rPr>
        <w:t>单位本年无</w:t>
      </w:r>
      <w:r>
        <w:rPr>
          <w:rFonts w:ascii="仿宋_GB2312" w:eastAsia="仿宋_GB2312"/>
          <w:sz w:val="32"/>
          <w:szCs w:val="32"/>
          <w:lang w:eastAsia="zh-CN"/>
        </w:rPr>
        <w:t>公务接待费。单位全年安排的国内公务接待0批次，0人次。</w:t>
      </w:r>
    </w:p>
    <w:p w14:paraId="6F2BE237">
      <w:pPr>
        <w:spacing w:after="0" w:line="240" w:lineRule="auto"/>
        <w:ind w:firstLine="640" w:firstLineChars="200"/>
        <w:jc w:val="both"/>
        <w:rPr>
          <w:rFonts w:hint="eastAsia" w:ascii="仿宋_GB2312" w:eastAsia="仿宋_GB2312"/>
          <w:sz w:val="32"/>
          <w:szCs w:val="32"/>
          <w:lang w:eastAsia="zh-CN"/>
        </w:rPr>
      </w:pPr>
      <w:r>
        <w:rPr>
          <w:rFonts w:ascii="仿宋_GB2312" w:eastAsia="仿宋_GB2312"/>
          <w:sz w:val="32"/>
          <w:szCs w:val="32"/>
          <w:lang w:eastAsia="zh-CN"/>
        </w:rPr>
        <w:t>与全年预算相比，财政拨款“三公”经费支出全年预算数0.00万元，决算数0.00万元，预决算差异率0.00%，主要原因是：</w:t>
      </w:r>
      <w:r>
        <w:rPr>
          <w:rFonts w:hint="eastAsia" w:ascii="仿宋_GB2312" w:eastAsia="仿宋_GB2312"/>
          <w:sz w:val="32"/>
          <w:szCs w:val="32"/>
          <w:lang w:eastAsia="zh-CN"/>
        </w:rPr>
        <w:t>严格按照预算执行，预决算对比无差异</w:t>
      </w:r>
      <w:r>
        <w:rPr>
          <w:rFonts w:ascii="仿宋_GB2312" w:eastAsia="仿宋_GB2312"/>
          <w:sz w:val="32"/>
          <w:szCs w:val="32"/>
          <w:lang w:eastAsia="zh-CN"/>
        </w:rPr>
        <w:t>。其中：因公出国（境）费全年预算数0.00万元，决算数0.00万元，预决算差异率0.00%，主要原因是：</w:t>
      </w:r>
      <w:r>
        <w:rPr>
          <w:rFonts w:hint="eastAsia" w:ascii="仿宋_GB2312" w:eastAsia="仿宋_GB2312"/>
          <w:sz w:val="32"/>
          <w:szCs w:val="32"/>
          <w:lang w:eastAsia="zh-CN"/>
        </w:rPr>
        <w:t>严格按照预算执行，预决算对比无差异</w:t>
      </w:r>
      <w:r>
        <w:rPr>
          <w:rFonts w:ascii="仿宋_GB2312" w:eastAsia="仿宋_GB2312"/>
          <w:sz w:val="32"/>
          <w:szCs w:val="32"/>
          <w:lang w:eastAsia="zh-CN"/>
        </w:rPr>
        <w:t>；公务用车购置费全年预算数0.00万元，决算数0.00万元，预决算差异率0.00%，主要原因是：</w:t>
      </w:r>
      <w:r>
        <w:rPr>
          <w:rFonts w:hint="eastAsia" w:ascii="仿宋_GB2312" w:eastAsia="仿宋_GB2312"/>
          <w:sz w:val="32"/>
          <w:szCs w:val="32"/>
          <w:lang w:eastAsia="zh-CN"/>
        </w:rPr>
        <w:t>严格按照预算执行，预决算对比无差异</w:t>
      </w:r>
      <w:r>
        <w:rPr>
          <w:rFonts w:ascii="仿宋_GB2312" w:eastAsia="仿宋_GB2312"/>
          <w:sz w:val="32"/>
          <w:szCs w:val="32"/>
          <w:lang w:eastAsia="zh-CN"/>
        </w:rPr>
        <w:t>；公务用车运行维护费全年预算数0.00万元，决算数0.00万元，预决算差异率0.00%，主要原因是：</w:t>
      </w:r>
      <w:r>
        <w:rPr>
          <w:rFonts w:hint="eastAsia" w:ascii="仿宋_GB2312" w:eastAsia="仿宋_GB2312"/>
          <w:sz w:val="32"/>
          <w:szCs w:val="32"/>
          <w:lang w:eastAsia="zh-CN"/>
        </w:rPr>
        <w:t>严格按照预算执行，预决算对比无差异</w:t>
      </w:r>
      <w:r>
        <w:rPr>
          <w:rFonts w:ascii="仿宋_GB2312" w:eastAsia="仿宋_GB2312"/>
          <w:sz w:val="32"/>
          <w:szCs w:val="32"/>
          <w:lang w:eastAsia="zh-CN"/>
        </w:rPr>
        <w:t>；公务接待费全年预算数0.00万元，决算数0.00万元，预决算差异率0.00%，主要原因是：</w:t>
      </w:r>
      <w:r>
        <w:rPr>
          <w:rFonts w:hint="eastAsia" w:ascii="仿宋_GB2312" w:eastAsia="仿宋_GB2312"/>
          <w:sz w:val="32"/>
          <w:szCs w:val="32"/>
          <w:lang w:eastAsia="zh-CN"/>
        </w:rPr>
        <w:t>严格按照预算执行，预决算对比无差异</w:t>
      </w:r>
      <w:r>
        <w:rPr>
          <w:rFonts w:ascii="仿宋_GB2312" w:eastAsia="仿宋_GB2312"/>
          <w:sz w:val="32"/>
          <w:szCs w:val="32"/>
          <w:lang w:eastAsia="zh-CN"/>
        </w:rPr>
        <w:t>。</w:t>
      </w:r>
    </w:p>
    <w:p w14:paraId="0192484D">
      <w:pPr>
        <w:spacing w:after="0" w:line="240" w:lineRule="auto"/>
        <w:ind w:firstLine="640" w:firstLineChars="200"/>
        <w:outlineLvl w:val="1"/>
        <w:rPr>
          <w:rFonts w:hint="eastAsia" w:ascii="黑体" w:eastAsia="黑体"/>
          <w:sz w:val="32"/>
          <w:szCs w:val="32"/>
          <w:lang w:eastAsia="zh-CN"/>
        </w:rPr>
      </w:pPr>
      <w:r>
        <w:rPr>
          <w:rFonts w:ascii="黑体" w:eastAsia="黑体"/>
          <w:sz w:val="32"/>
          <w:szCs w:val="32"/>
          <w:lang w:eastAsia="zh-CN"/>
        </w:rPr>
        <w:t>十、其他重要事项的情况说明</w:t>
      </w:r>
    </w:p>
    <w:p w14:paraId="63EC703C">
      <w:pPr>
        <w:spacing w:after="0" w:line="240" w:lineRule="auto"/>
        <w:ind w:firstLine="643" w:firstLineChars="200"/>
        <w:outlineLvl w:val="2"/>
        <w:rPr>
          <w:rFonts w:hint="eastAsia" w:ascii="黑体" w:eastAsia="黑体"/>
          <w:sz w:val="32"/>
          <w:szCs w:val="32"/>
          <w:lang w:eastAsia="zh-CN"/>
        </w:rPr>
      </w:pPr>
      <w:r>
        <w:rPr>
          <w:rFonts w:ascii="黑体" w:eastAsia="黑体"/>
          <w:b/>
          <w:sz w:val="32"/>
          <w:szCs w:val="32"/>
          <w:lang w:eastAsia="zh-CN"/>
        </w:rPr>
        <w:t>（一）机关运行经费及公用经费支出情况</w:t>
      </w:r>
    </w:p>
    <w:p w14:paraId="009AABD5">
      <w:pPr>
        <w:spacing w:after="0" w:line="240" w:lineRule="auto"/>
        <w:ind w:firstLine="640" w:firstLineChars="200"/>
        <w:jc w:val="both"/>
        <w:rPr>
          <w:rFonts w:hint="eastAsia" w:ascii="仿宋_GB2312" w:eastAsia="仿宋_GB2312"/>
          <w:sz w:val="32"/>
          <w:szCs w:val="32"/>
          <w:lang w:eastAsia="zh-CN"/>
        </w:rPr>
      </w:pPr>
      <w:r>
        <w:rPr>
          <w:rFonts w:ascii="仿宋_GB2312" w:eastAsia="仿宋_GB2312"/>
          <w:sz w:val="32"/>
          <w:szCs w:val="32"/>
          <w:lang w:eastAsia="zh-CN"/>
        </w:rPr>
        <w:t>2024年度中国共产党乌鲁木齐市达坂城区政法委员会办公室单位（行政单位和参照公务员法管理事业单位）机关运行经费支出28.75万元，比上年增加7.76万元，增长36.97%，主要原因是：</w:t>
      </w:r>
      <w:r>
        <w:rPr>
          <w:rFonts w:hint="eastAsia" w:ascii="仿宋_GB2312" w:eastAsia="仿宋_GB2312"/>
          <w:sz w:val="32"/>
          <w:szCs w:val="32"/>
          <w:lang w:eastAsia="zh-CN"/>
        </w:rPr>
        <w:t>本年单位办公费、水费、差旅费及福利费等经费较上年增加</w:t>
      </w:r>
      <w:r>
        <w:rPr>
          <w:rFonts w:ascii="仿宋_GB2312" w:eastAsia="仿宋_GB2312"/>
          <w:sz w:val="32"/>
          <w:szCs w:val="32"/>
          <w:lang w:eastAsia="zh-CN"/>
        </w:rPr>
        <w:t>。</w:t>
      </w:r>
    </w:p>
    <w:p w14:paraId="48BEB6E3">
      <w:pPr>
        <w:spacing w:after="0" w:line="240" w:lineRule="auto"/>
        <w:ind w:firstLine="643" w:firstLineChars="200"/>
        <w:outlineLvl w:val="2"/>
        <w:rPr>
          <w:rFonts w:hint="eastAsia" w:ascii="黑体" w:eastAsia="黑体"/>
          <w:sz w:val="32"/>
          <w:szCs w:val="32"/>
          <w:lang w:eastAsia="zh-CN"/>
        </w:rPr>
      </w:pPr>
      <w:r>
        <w:rPr>
          <w:rFonts w:ascii="黑体" w:eastAsia="黑体"/>
          <w:b/>
          <w:sz w:val="32"/>
          <w:szCs w:val="32"/>
          <w:lang w:eastAsia="zh-CN"/>
        </w:rPr>
        <w:t>（二）政府采购情况</w:t>
      </w:r>
    </w:p>
    <w:p w14:paraId="577AF842">
      <w:pPr>
        <w:spacing w:after="0" w:line="240" w:lineRule="auto"/>
        <w:ind w:firstLine="640" w:firstLineChars="200"/>
        <w:jc w:val="both"/>
        <w:rPr>
          <w:rFonts w:hint="eastAsia" w:ascii="仿宋_GB2312" w:eastAsia="仿宋_GB2312"/>
          <w:sz w:val="32"/>
          <w:szCs w:val="32"/>
          <w:lang w:eastAsia="zh-CN"/>
        </w:rPr>
      </w:pPr>
      <w:r>
        <w:rPr>
          <w:rFonts w:ascii="仿宋_GB2312" w:eastAsia="仿宋_GB2312"/>
          <w:sz w:val="32"/>
          <w:szCs w:val="32"/>
          <w:lang w:eastAsia="zh-CN"/>
        </w:rPr>
        <w:t>2024年度政府采购支出总额13.92万元，其中：政府采购货物支出3.66万元、政府采购工程支出0.00万元、政府采购服务支出10.26万元。</w:t>
      </w:r>
    </w:p>
    <w:p w14:paraId="2392E075">
      <w:pPr>
        <w:spacing w:after="0" w:line="240" w:lineRule="auto"/>
        <w:ind w:firstLine="640" w:firstLineChars="200"/>
        <w:jc w:val="both"/>
        <w:rPr>
          <w:rFonts w:hint="eastAsia" w:ascii="仿宋_GB2312" w:eastAsia="仿宋_GB2312"/>
          <w:sz w:val="32"/>
          <w:szCs w:val="32"/>
          <w:lang w:eastAsia="zh-CN"/>
        </w:rPr>
      </w:pPr>
      <w:r>
        <w:rPr>
          <w:rFonts w:ascii="仿宋_GB2312" w:eastAsia="仿宋_GB2312"/>
          <w:sz w:val="32"/>
          <w:szCs w:val="32"/>
          <w:lang w:eastAsia="zh-CN"/>
        </w:rPr>
        <w:t>授予中小企业合同金额6.81万元，占政府采购支出总额的48.92%，其中：授予小微企业合同金额6.62万元，占政府采购支出总额的47.56%。</w:t>
      </w:r>
    </w:p>
    <w:p w14:paraId="54B9B23B">
      <w:pPr>
        <w:spacing w:after="0" w:line="240" w:lineRule="auto"/>
        <w:ind w:firstLine="643" w:firstLineChars="200"/>
        <w:outlineLvl w:val="2"/>
        <w:rPr>
          <w:rFonts w:hint="eastAsia" w:ascii="黑体" w:eastAsia="黑体"/>
          <w:sz w:val="32"/>
          <w:szCs w:val="32"/>
          <w:lang w:eastAsia="zh-CN"/>
        </w:rPr>
      </w:pPr>
      <w:r>
        <w:rPr>
          <w:rFonts w:ascii="黑体" w:eastAsia="黑体"/>
          <w:b/>
          <w:sz w:val="32"/>
          <w:szCs w:val="32"/>
          <w:lang w:eastAsia="zh-CN"/>
        </w:rPr>
        <w:t>（三）国有资产占用情况说明</w:t>
      </w:r>
    </w:p>
    <w:p w14:paraId="72F77771">
      <w:pPr>
        <w:spacing w:after="0" w:line="240" w:lineRule="auto"/>
        <w:ind w:firstLine="640" w:firstLineChars="200"/>
        <w:jc w:val="both"/>
        <w:rPr>
          <w:rFonts w:hint="eastAsia" w:ascii="仿宋_GB2312" w:eastAsia="仿宋_GB2312"/>
          <w:sz w:val="32"/>
          <w:szCs w:val="32"/>
          <w:lang w:eastAsia="zh-CN"/>
        </w:rPr>
      </w:pPr>
      <w:r>
        <w:rPr>
          <w:rFonts w:ascii="仿宋_GB2312" w:eastAsia="仿宋_GB2312"/>
          <w:sz w:val="32"/>
          <w:szCs w:val="32"/>
        </w:rPr>
        <w:t>截至2024年12月31日，房屋0.00平方米，价值0.00万元。</w:t>
      </w:r>
      <w:r>
        <w:rPr>
          <w:rFonts w:ascii="仿宋_GB2312" w:eastAsia="仿宋_GB2312"/>
          <w:sz w:val="32"/>
          <w:szCs w:val="32"/>
          <w:lang w:eastAsia="zh-CN"/>
        </w:rPr>
        <w:t>车辆4辆，价值71.14万元，其中：副部（省）级及以上领导用车0辆、主要负责人用车0辆、机要通信用车0辆、应急保障用车0辆、执法执勤用车0辆、特种专业技术用车0辆、离退休干部服务用车0辆、其他用车4辆，其他用车主要是：</w:t>
      </w:r>
      <w:r>
        <w:rPr>
          <w:rFonts w:hint="eastAsia" w:ascii="仿宋_GB2312" w:eastAsia="仿宋_GB2312"/>
          <w:sz w:val="32"/>
          <w:szCs w:val="32"/>
          <w:lang w:eastAsia="zh-CN"/>
        </w:rPr>
        <w:t>单位业务用车</w:t>
      </w:r>
      <w:r>
        <w:rPr>
          <w:rFonts w:ascii="仿宋_GB2312" w:eastAsia="仿宋_GB2312"/>
          <w:sz w:val="32"/>
          <w:szCs w:val="32"/>
          <w:lang w:eastAsia="zh-CN"/>
        </w:rPr>
        <w:t>;单价100万元（含）以上设备（不含车辆）6台（套）。</w:t>
      </w:r>
    </w:p>
    <w:p w14:paraId="1AAE2D7A">
      <w:pPr>
        <w:spacing w:after="0" w:line="240" w:lineRule="auto"/>
        <w:ind w:firstLine="640" w:firstLineChars="200"/>
        <w:outlineLvl w:val="1"/>
        <w:rPr>
          <w:rFonts w:hint="eastAsia" w:ascii="黑体" w:eastAsia="黑体"/>
          <w:sz w:val="32"/>
          <w:szCs w:val="32"/>
          <w:lang w:eastAsia="zh-CN"/>
        </w:rPr>
      </w:pPr>
      <w:r>
        <w:rPr>
          <w:rFonts w:ascii="黑体" w:eastAsia="黑体"/>
          <w:sz w:val="32"/>
          <w:szCs w:val="32"/>
          <w:lang w:eastAsia="zh-CN"/>
        </w:rPr>
        <w:t>十一、预算绩效的情况说明</w:t>
      </w:r>
    </w:p>
    <w:p w14:paraId="27136BE0">
      <w:pPr>
        <w:spacing w:after="0" w:line="240" w:lineRule="auto"/>
        <w:ind w:firstLine="640" w:firstLineChars="200"/>
        <w:jc w:val="both"/>
        <w:rPr>
          <w:rFonts w:hint="eastAsia" w:ascii="宋体" w:hAnsi="宋体" w:eastAsia="宋体" w:cs="宋体"/>
          <w:b/>
          <w:bCs/>
          <w:sz w:val="18"/>
          <w:szCs w:val="18"/>
          <w:lang w:eastAsia="zh-CN"/>
        </w:rPr>
      </w:pPr>
      <w:r>
        <w:rPr>
          <w:rFonts w:ascii="仿宋_GB2312" w:eastAsia="仿宋_GB2312"/>
          <w:sz w:val="32"/>
          <w:szCs w:val="32"/>
          <w:lang w:eastAsia="zh-CN"/>
        </w:rPr>
        <w:t>根据预算绩效管理要求，本单位2024年度预算绩效管理形成整体支出绩效自评表1个，全年预算总额654.50万元，实际执行总额637.71万元；预算绩效评价项目3个，全年预算数196.00万元，全年执行数193.61万元。</w:t>
      </w:r>
      <w:bookmarkStart w:id="3" w:name="_Hlk207143329"/>
      <w:r>
        <w:rPr>
          <w:rFonts w:ascii="仿宋_GB2312" w:eastAsia="仿宋_GB2312"/>
          <w:sz w:val="32"/>
          <w:szCs w:val="32"/>
          <w:lang w:eastAsia="zh-CN"/>
        </w:rPr>
        <w:t>预算绩效管理取得的成效：一是本部门为加强预算管理，规范财务行为，已制定《政法委财务管理制度》等健全完整的各项管理制度，有效保障了我部门</w:t>
      </w:r>
      <w:r>
        <w:rPr>
          <w:rFonts w:hint="eastAsia" w:ascii="仿宋_GB2312" w:eastAsia="仿宋_GB2312"/>
          <w:sz w:val="32"/>
          <w:szCs w:val="32"/>
          <w:lang w:eastAsia="zh-CN"/>
        </w:rPr>
        <w:t>高效地</w:t>
      </w:r>
      <w:r>
        <w:rPr>
          <w:rFonts w:ascii="仿宋_GB2312" w:eastAsia="仿宋_GB2312"/>
          <w:sz w:val="32"/>
          <w:szCs w:val="32"/>
          <w:lang w:eastAsia="zh-CN"/>
        </w:rPr>
        <w:t>履行工作职能，较</w:t>
      </w:r>
      <w:r>
        <w:rPr>
          <w:rFonts w:hint="eastAsia" w:ascii="仿宋_GB2312" w:eastAsia="仿宋_GB2312"/>
          <w:sz w:val="32"/>
          <w:szCs w:val="32"/>
          <w:lang w:eastAsia="zh-CN"/>
        </w:rPr>
        <w:t>好地</w:t>
      </w:r>
      <w:r>
        <w:rPr>
          <w:rFonts w:ascii="仿宋_GB2312" w:eastAsia="仿宋_GB2312"/>
          <w:sz w:val="32"/>
          <w:szCs w:val="32"/>
          <w:lang w:eastAsia="zh-CN"/>
        </w:rPr>
        <w:t>促进事业发展</w:t>
      </w:r>
      <w:r>
        <w:rPr>
          <w:rFonts w:hint="eastAsia" w:ascii="仿宋_GB2312" w:eastAsia="仿宋_GB2312"/>
          <w:sz w:val="32"/>
          <w:szCs w:val="32"/>
          <w:lang w:eastAsia="zh-CN"/>
        </w:rPr>
        <w:t>；</w:t>
      </w:r>
      <w:r>
        <w:rPr>
          <w:rFonts w:ascii="仿宋_GB2312" w:eastAsia="仿宋_GB2312"/>
          <w:sz w:val="32"/>
          <w:szCs w:val="32"/>
          <w:lang w:eastAsia="zh-CN"/>
        </w:rPr>
        <w:t>二是部门预算资金使用符合国家法规和财务管理制度；预算资金拨付有完整的审批程序和手续，符合项目预算批复或合同规定的用途；不存在截留、挤占、挪用、虚列支出等情况，确保我部门预算资金规范运行</w:t>
      </w:r>
      <w:r>
        <w:rPr>
          <w:rFonts w:hint="eastAsia" w:ascii="仿宋_GB2312" w:eastAsia="仿宋_GB2312"/>
          <w:sz w:val="32"/>
          <w:szCs w:val="32"/>
          <w:lang w:eastAsia="zh-CN"/>
        </w:rPr>
        <w:t>；</w:t>
      </w:r>
      <w:r>
        <w:rPr>
          <w:rFonts w:ascii="仿宋_GB2312" w:eastAsia="仿宋_GB2312"/>
          <w:sz w:val="32"/>
          <w:szCs w:val="32"/>
          <w:lang w:eastAsia="zh-CN"/>
        </w:rPr>
        <w:t>三是我部门严格按照预部</w:t>
      </w:r>
      <w:r>
        <w:rPr>
          <w:rFonts w:hint="eastAsia" w:ascii="仿宋_GB2312" w:eastAsia="仿宋_GB2312"/>
          <w:sz w:val="32"/>
          <w:szCs w:val="32"/>
          <w:lang w:eastAsia="zh-CN"/>
        </w:rPr>
        <w:t>门</w:t>
      </w:r>
      <w:r>
        <w:rPr>
          <w:rFonts w:ascii="仿宋_GB2312" w:eastAsia="仿宋_GB2312"/>
          <w:sz w:val="32"/>
          <w:szCs w:val="32"/>
          <w:lang w:eastAsia="zh-CN"/>
        </w:rPr>
        <w:t>算编制与预算调整的工作要求，在预算编制、分配依据充分的条件下，切实做好“先定目标再编预算”，确保预算分配结果合理。同时按照区财政局预决算信息公开工作要求，部门预算及绩效目标在达坂城区政府网站公开，广泛接受社会监督。发现的问题及原因：一是部门职能不明确，个别工作分工不清晰，且人员培训和绩效考核制度不够完善，考核方案部分内容和人员名单更新滞后</w:t>
      </w:r>
      <w:r>
        <w:rPr>
          <w:rFonts w:hint="eastAsia" w:ascii="仿宋_GB2312" w:eastAsia="仿宋_GB2312"/>
          <w:sz w:val="32"/>
          <w:szCs w:val="32"/>
          <w:lang w:eastAsia="zh-CN"/>
        </w:rPr>
        <w:t>；</w:t>
      </w:r>
      <w:r>
        <w:rPr>
          <w:rFonts w:ascii="仿宋_GB2312" w:eastAsia="仿宋_GB2312"/>
          <w:sz w:val="32"/>
          <w:szCs w:val="32"/>
          <w:lang w:eastAsia="zh-CN"/>
        </w:rPr>
        <w:t>二是预算编制科学性的问题。首先预算编制之合理性相对不足，主要表现在预算调整数较大，年度目标与长期规划衔接的紧密程度需要增强</w:t>
      </w:r>
      <w:r>
        <w:rPr>
          <w:rFonts w:hint="eastAsia" w:ascii="仿宋_GB2312" w:eastAsia="仿宋_GB2312"/>
          <w:sz w:val="32"/>
          <w:szCs w:val="32"/>
          <w:lang w:eastAsia="zh-CN"/>
        </w:rPr>
        <w:t>；</w:t>
      </w:r>
      <w:r>
        <w:rPr>
          <w:rFonts w:ascii="仿宋_GB2312" w:eastAsia="仿宋_GB2312"/>
          <w:sz w:val="32"/>
          <w:szCs w:val="32"/>
          <w:lang w:eastAsia="zh-CN"/>
        </w:rPr>
        <w:t>三是部门整体绩效指标应从单位全局高度出发，围绕部门单位履职的核心任务，分析提炼部门单位年度目标，再细化为具体的三级指标，以结果性、效益性指标为主。同时，参考资料也是首先以中央、自治区、乌鲁木齐市的文件、批准的规划为主，不是仅依赖于部门单位的工作计划，多设置过程性、产出性的指标，而非部门碎片工作的简单整合。下一步改进措施：一是构建专业、客观、独立、多样的绩效评价主体。在可能的条件下，引入社会绩效评价组织，专家，高效研究人员等。还应加强对外公开的效率，促使公众参与到部门整体绩效评价执行的过程中，重视社会公众对绩效评价的监督。最后，要加强部门内部绩效评价人员的培训，提高其指标设计和绩效评价的专业技能</w:t>
      </w:r>
      <w:r>
        <w:rPr>
          <w:rFonts w:hint="eastAsia" w:ascii="仿宋_GB2312" w:eastAsia="仿宋_GB2312"/>
          <w:sz w:val="32"/>
          <w:szCs w:val="32"/>
          <w:lang w:eastAsia="zh-CN"/>
        </w:rPr>
        <w:t>；</w:t>
      </w:r>
      <w:r>
        <w:rPr>
          <w:rFonts w:ascii="仿宋_GB2312" w:eastAsia="仿宋_GB2312"/>
          <w:sz w:val="32"/>
          <w:szCs w:val="32"/>
          <w:lang w:eastAsia="zh-CN"/>
        </w:rPr>
        <w:t>二是提高部门整体支出绩效目标设定的合理性。部门整体绩效目标不是碎片化工作的堆叠，而是反映部门开展预算绩效管理工作的规范性和执行力。要树立全局观，在执行部门整体绩效管理工作时，从部门的法定职能入手，围绕事业发展规划、政府重要战略等，以预算资金为主线，统筹考虑任务目标和大事要事清单，梳理集中反映部门履职效能、社会效应等效果的个性化、效益类绩效指标</w:t>
      </w:r>
      <w:r>
        <w:rPr>
          <w:rFonts w:hint="eastAsia" w:ascii="仿宋_GB2312" w:eastAsia="仿宋_GB2312"/>
          <w:sz w:val="32"/>
          <w:szCs w:val="32"/>
          <w:lang w:eastAsia="zh-CN"/>
        </w:rPr>
        <w:t>；</w:t>
      </w:r>
      <w:r>
        <w:rPr>
          <w:rFonts w:ascii="仿宋_GB2312" w:eastAsia="仿宋_GB2312"/>
          <w:sz w:val="32"/>
          <w:szCs w:val="32"/>
          <w:lang w:eastAsia="zh-CN"/>
        </w:rPr>
        <w:t>三是重视部门整体支出绩效评价中的问题总结，这是发现问题的开端。其次，将结果进行公示，以促进部门间的相互竞争和部门外部的监督。利用绩效评价结果也可以反向促进单位内部预算资金统筹安排和项目的执行，提高工作人员的工作效率，进而提高社会效益。</w:t>
      </w:r>
      <w:bookmarkEnd w:id="3"/>
      <w:r>
        <w:rPr>
          <w:rFonts w:ascii="仿宋_GB2312" w:eastAsia="仿宋_GB2312"/>
          <w:sz w:val="32"/>
          <w:szCs w:val="32"/>
          <w:lang w:eastAsia="zh-CN"/>
        </w:rPr>
        <w:t>具体附部门整体支出绩效自评表，项目支出绩效自评表和部门评价报告。</w:t>
      </w:r>
      <w:bookmarkStart w:id="4" w:name="_Hlk174962300"/>
    </w:p>
    <w:p w14:paraId="2F1E3FF3">
      <w:pPr>
        <w:jc w:val="center"/>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t>部门（单位）整体支出绩效目标自评表</w:t>
      </w:r>
    </w:p>
    <w:p w14:paraId="3688235F">
      <w:pPr>
        <w:jc w:val="center"/>
        <w:rPr>
          <w:rFonts w:hint="eastAsia" w:ascii="宋体" w:hAnsi="宋体" w:eastAsia="宋体" w:cs="宋体"/>
          <w:b/>
          <w:bCs/>
          <w:sz w:val="18"/>
          <w:szCs w:val="18"/>
        </w:rPr>
      </w:pPr>
      <w:r>
        <w:rPr>
          <w:rFonts w:hint="eastAsia" w:ascii="宋体" w:hAnsi="宋体" w:eastAsia="宋体" w:cs="宋体"/>
          <w:b/>
          <w:bCs/>
          <w:sz w:val="18"/>
          <w:szCs w:val="18"/>
        </w:rPr>
        <w:t>（2024年度）</w:t>
      </w:r>
    </w:p>
    <w:tbl>
      <w:tblPr>
        <w:tblStyle w:val="12"/>
        <w:tblW w:w="9935" w:type="dxa"/>
        <w:tblInd w:w="-601" w:type="dxa"/>
        <w:tblLayout w:type="fixed"/>
        <w:tblCellMar>
          <w:top w:w="0" w:type="dxa"/>
          <w:left w:w="108" w:type="dxa"/>
          <w:bottom w:w="0" w:type="dxa"/>
          <w:right w:w="108" w:type="dxa"/>
        </w:tblCellMar>
      </w:tblPr>
      <w:tblGrid>
        <w:gridCol w:w="993"/>
        <w:gridCol w:w="1417"/>
        <w:gridCol w:w="1418"/>
        <w:gridCol w:w="1701"/>
        <w:gridCol w:w="1276"/>
        <w:gridCol w:w="1134"/>
        <w:gridCol w:w="992"/>
        <w:gridCol w:w="720"/>
        <w:gridCol w:w="284"/>
      </w:tblGrid>
      <w:tr w14:paraId="648F3FBD">
        <w:tblPrEx>
          <w:tblCellMar>
            <w:top w:w="0" w:type="dxa"/>
            <w:left w:w="108" w:type="dxa"/>
            <w:bottom w:w="0" w:type="dxa"/>
            <w:right w:w="108" w:type="dxa"/>
          </w:tblCellMar>
        </w:tblPrEx>
        <w:trPr>
          <w:cantSplit/>
          <w:trHeight w:val="660" w:hRule="atLeast"/>
        </w:trPr>
        <w:tc>
          <w:tcPr>
            <w:tcW w:w="993" w:type="dxa"/>
            <w:tcBorders>
              <w:top w:val="single" w:color="auto" w:sz="4" w:space="0"/>
              <w:left w:val="single" w:color="auto" w:sz="4" w:space="0"/>
              <w:bottom w:val="single" w:color="auto" w:sz="4" w:space="0"/>
              <w:right w:val="single" w:color="auto" w:sz="4" w:space="0"/>
            </w:tcBorders>
            <w:noWrap/>
            <w:vAlign w:val="center"/>
          </w:tcPr>
          <w:p w14:paraId="1FC1C20A">
            <w:pPr>
              <w:jc w:val="center"/>
              <w:rPr>
                <w:rFonts w:hint="eastAsia" w:ascii="宋体" w:hAnsi="宋体" w:eastAsia="宋体" w:cs="宋体"/>
                <w:b/>
                <w:bCs/>
                <w:sz w:val="18"/>
                <w:szCs w:val="18"/>
              </w:rPr>
            </w:pPr>
            <w:r>
              <w:rPr>
                <w:rFonts w:hint="eastAsia" w:ascii="宋体" w:hAnsi="宋体" w:eastAsia="宋体" w:cs="宋体"/>
                <w:b/>
                <w:bCs/>
                <w:sz w:val="18"/>
                <w:szCs w:val="18"/>
              </w:rPr>
              <w:t>部门（单位）名称</w:t>
            </w:r>
          </w:p>
        </w:tc>
        <w:tc>
          <w:tcPr>
            <w:tcW w:w="8658" w:type="dxa"/>
            <w:gridSpan w:val="7"/>
            <w:tcBorders>
              <w:top w:val="single" w:color="auto" w:sz="4" w:space="0"/>
              <w:left w:val="nil"/>
              <w:bottom w:val="single" w:color="auto" w:sz="4" w:space="0"/>
              <w:right w:val="single" w:color="auto" w:sz="4" w:space="0"/>
            </w:tcBorders>
            <w:noWrap/>
            <w:vAlign w:val="center"/>
          </w:tcPr>
          <w:p w14:paraId="673DBAE5">
            <w:pPr>
              <w:jc w:val="center"/>
              <w:rPr>
                <w:rFonts w:hint="eastAsia" w:ascii="宋体" w:hAnsi="宋体" w:eastAsia="宋体" w:cs="宋体"/>
                <w:b/>
                <w:bCs/>
                <w:sz w:val="18"/>
                <w:szCs w:val="18"/>
                <w:lang w:eastAsia="zh-CN"/>
              </w:rPr>
            </w:pPr>
            <w:r>
              <w:rPr>
                <w:rFonts w:hint="eastAsia" w:ascii="宋体" w:hAnsi="宋体" w:eastAsia="宋体" w:cs="宋体"/>
                <w:b/>
                <w:bCs/>
                <w:sz w:val="18"/>
                <w:szCs w:val="18"/>
                <w:lang w:eastAsia="zh-CN"/>
              </w:rPr>
              <w:t>中国共产党乌鲁木齐市达坂城区政法委员会办公室</w:t>
            </w:r>
          </w:p>
        </w:tc>
        <w:tc>
          <w:tcPr>
            <w:tcW w:w="284" w:type="dxa"/>
            <w:tcBorders>
              <w:top w:val="nil"/>
              <w:left w:val="nil"/>
              <w:bottom w:val="nil"/>
              <w:right w:val="nil"/>
            </w:tcBorders>
            <w:noWrap/>
            <w:vAlign w:val="center"/>
          </w:tcPr>
          <w:p w14:paraId="4637C50C">
            <w:pPr>
              <w:rPr>
                <w:rFonts w:hint="eastAsia" w:ascii="宋体" w:hAnsi="宋体" w:eastAsia="宋体" w:cs="宋体"/>
                <w:b/>
                <w:bCs/>
                <w:sz w:val="18"/>
                <w:szCs w:val="18"/>
                <w:lang w:eastAsia="zh-CN"/>
              </w:rPr>
            </w:pPr>
          </w:p>
        </w:tc>
      </w:tr>
      <w:tr w14:paraId="197BAE1C">
        <w:tblPrEx>
          <w:tblCellMar>
            <w:top w:w="0" w:type="dxa"/>
            <w:left w:w="108" w:type="dxa"/>
            <w:bottom w:w="0" w:type="dxa"/>
            <w:right w:w="108" w:type="dxa"/>
          </w:tblCellMar>
        </w:tblPrEx>
        <w:trPr>
          <w:cantSplit/>
          <w:trHeight w:val="570" w:hRule="atLeast"/>
        </w:trPr>
        <w:tc>
          <w:tcPr>
            <w:tcW w:w="993" w:type="dxa"/>
            <w:vMerge w:val="restart"/>
            <w:tcBorders>
              <w:top w:val="single" w:color="auto" w:sz="4" w:space="0"/>
              <w:left w:val="single" w:color="auto" w:sz="4" w:space="0"/>
              <w:bottom w:val="single" w:color="auto" w:sz="4" w:space="0"/>
              <w:right w:val="single" w:color="auto" w:sz="4" w:space="0"/>
            </w:tcBorders>
            <w:vAlign w:val="center"/>
          </w:tcPr>
          <w:p w14:paraId="668D2274">
            <w:pPr>
              <w:jc w:val="center"/>
              <w:rPr>
                <w:rFonts w:hint="eastAsia" w:ascii="宋体" w:hAnsi="宋体" w:eastAsia="宋体" w:cs="宋体"/>
                <w:b/>
                <w:bCs/>
                <w:sz w:val="18"/>
                <w:szCs w:val="18"/>
              </w:rPr>
            </w:pPr>
            <w:r>
              <w:rPr>
                <w:rFonts w:hint="eastAsia" w:ascii="宋体" w:hAnsi="宋体" w:eastAsia="宋体" w:cs="宋体"/>
                <w:b/>
                <w:bCs/>
                <w:sz w:val="18"/>
                <w:szCs w:val="18"/>
              </w:rPr>
              <w:t>部门资金（万元）</w:t>
            </w:r>
          </w:p>
        </w:tc>
        <w:tc>
          <w:tcPr>
            <w:tcW w:w="1417" w:type="dxa"/>
            <w:tcBorders>
              <w:top w:val="nil"/>
              <w:left w:val="nil"/>
              <w:bottom w:val="single" w:color="auto" w:sz="4" w:space="0"/>
              <w:right w:val="single" w:color="auto" w:sz="4" w:space="0"/>
            </w:tcBorders>
            <w:vAlign w:val="center"/>
          </w:tcPr>
          <w:p w14:paraId="4F6FB274">
            <w:pPr>
              <w:jc w:val="center"/>
              <w:rPr>
                <w:rFonts w:hint="eastAsia" w:ascii="宋体" w:hAnsi="宋体" w:eastAsia="宋体" w:cs="宋体"/>
                <w:b/>
                <w:bCs/>
                <w:sz w:val="18"/>
                <w:szCs w:val="18"/>
              </w:rPr>
            </w:pPr>
            <w:r>
              <w:rPr>
                <w:rFonts w:hint="eastAsia" w:ascii="宋体" w:hAnsi="宋体" w:eastAsia="宋体" w:cs="宋体"/>
                <w:b/>
                <w:bCs/>
                <w:sz w:val="18"/>
                <w:szCs w:val="18"/>
              </w:rPr>
              <w:t>资金来源</w:t>
            </w:r>
          </w:p>
        </w:tc>
        <w:tc>
          <w:tcPr>
            <w:tcW w:w="1418" w:type="dxa"/>
            <w:tcBorders>
              <w:top w:val="nil"/>
              <w:left w:val="nil"/>
              <w:bottom w:val="single" w:color="auto" w:sz="4" w:space="0"/>
              <w:right w:val="single" w:color="auto" w:sz="4" w:space="0"/>
            </w:tcBorders>
            <w:vAlign w:val="center"/>
          </w:tcPr>
          <w:p w14:paraId="0B1DDEB7">
            <w:pPr>
              <w:jc w:val="center"/>
              <w:rPr>
                <w:rFonts w:hint="eastAsia" w:ascii="宋体" w:hAnsi="宋体" w:eastAsia="宋体" w:cs="宋体"/>
                <w:b/>
                <w:bCs/>
                <w:sz w:val="18"/>
                <w:szCs w:val="18"/>
              </w:rPr>
            </w:pPr>
            <w:r>
              <w:rPr>
                <w:rFonts w:hint="eastAsia" w:ascii="宋体" w:hAnsi="宋体" w:eastAsia="宋体" w:cs="宋体"/>
                <w:b/>
                <w:bCs/>
                <w:sz w:val="18"/>
                <w:szCs w:val="18"/>
              </w:rPr>
              <w:t>年初预算数</w:t>
            </w:r>
          </w:p>
        </w:tc>
        <w:tc>
          <w:tcPr>
            <w:tcW w:w="1701" w:type="dxa"/>
            <w:tcBorders>
              <w:top w:val="nil"/>
              <w:left w:val="nil"/>
              <w:bottom w:val="single" w:color="auto" w:sz="4" w:space="0"/>
              <w:right w:val="single" w:color="auto" w:sz="4" w:space="0"/>
            </w:tcBorders>
            <w:vAlign w:val="center"/>
          </w:tcPr>
          <w:p w14:paraId="13F5CC67">
            <w:pPr>
              <w:jc w:val="center"/>
              <w:rPr>
                <w:rFonts w:hint="eastAsia" w:ascii="宋体" w:hAnsi="宋体" w:eastAsia="宋体" w:cs="宋体"/>
                <w:b/>
                <w:bCs/>
                <w:sz w:val="18"/>
                <w:szCs w:val="18"/>
              </w:rPr>
            </w:pPr>
            <w:r>
              <w:rPr>
                <w:rFonts w:hint="eastAsia" w:ascii="宋体" w:hAnsi="宋体" w:eastAsia="宋体" w:cs="宋体"/>
                <w:b/>
                <w:bCs/>
                <w:sz w:val="18"/>
                <w:szCs w:val="18"/>
              </w:rPr>
              <w:t>全年预算数</w:t>
            </w:r>
          </w:p>
        </w:tc>
        <w:tc>
          <w:tcPr>
            <w:tcW w:w="1276" w:type="dxa"/>
            <w:tcBorders>
              <w:top w:val="nil"/>
              <w:left w:val="nil"/>
              <w:bottom w:val="single" w:color="auto" w:sz="4" w:space="0"/>
              <w:right w:val="single" w:color="auto" w:sz="4" w:space="0"/>
            </w:tcBorders>
            <w:vAlign w:val="center"/>
          </w:tcPr>
          <w:p w14:paraId="57AF4E8D">
            <w:pPr>
              <w:jc w:val="center"/>
              <w:rPr>
                <w:rFonts w:hint="eastAsia" w:ascii="宋体" w:hAnsi="宋体" w:eastAsia="宋体" w:cs="宋体"/>
                <w:b/>
                <w:bCs/>
                <w:sz w:val="18"/>
                <w:szCs w:val="18"/>
              </w:rPr>
            </w:pPr>
            <w:r>
              <w:rPr>
                <w:rFonts w:hint="eastAsia" w:ascii="宋体" w:hAnsi="宋体" w:eastAsia="宋体" w:cs="宋体"/>
                <w:b/>
                <w:bCs/>
                <w:sz w:val="18"/>
                <w:szCs w:val="18"/>
              </w:rPr>
              <w:t>全年执行数</w:t>
            </w:r>
          </w:p>
        </w:tc>
        <w:tc>
          <w:tcPr>
            <w:tcW w:w="1134" w:type="dxa"/>
            <w:tcBorders>
              <w:top w:val="nil"/>
              <w:left w:val="nil"/>
              <w:bottom w:val="single" w:color="auto" w:sz="4" w:space="0"/>
              <w:right w:val="single" w:color="auto" w:sz="4" w:space="0"/>
            </w:tcBorders>
            <w:vAlign w:val="center"/>
          </w:tcPr>
          <w:p w14:paraId="7B656DD5">
            <w:pPr>
              <w:jc w:val="center"/>
              <w:rPr>
                <w:rFonts w:hint="eastAsia" w:ascii="宋体" w:hAnsi="宋体" w:eastAsia="宋体" w:cs="宋体"/>
                <w:b/>
                <w:bCs/>
                <w:sz w:val="18"/>
                <w:szCs w:val="18"/>
              </w:rPr>
            </w:pPr>
            <w:r>
              <w:rPr>
                <w:rFonts w:hint="eastAsia" w:ascii="宋体" w:hAnsi="宋体" w:eastAsia="宋体" w:cs="宋体"/>
                <w:b/>
                <w:bCs/>
                <w:sz w:val="18"/>
                <w:szCs w:val="18"/>
              </w:rPr>
              <w:t>分值权重</w:t>
            </w:r>
          </w:p>
        </w:tc>
        <w:tc>
          <w:tcPr>
            <w:tcW w:w="992" w:type="dxa"/>
            <w:tcBorders>
              <w:top w:val="nil"/>
              <w:left w:val="nil"/>
              <w:bottom w:val="single" w:color="auto" w:sz="4" w:space="0"/>
              <w:right w:val="single" w:color="auto" w:sz="4" w:space="0"/>
            </w:tcBorders>
            <w:vAlign w:val="center"/>
          </w:tcPr>
          <w:p w14:paraId="7D3372D2">
            <w:pPr>
              <w:jc w:val="center"/>
              <w:rPr>
                <w:rFonts w:hint="eastAsia" w:ascii="宋体" w:hAnsi="宋体" w:eastAsia="宋体" w:cs="宋体"/>
                <w:b/>
                <w:bCs/>
                <w:sz w:val="18"/>
                <w:szCs w:val="18"/>
              </w:rPr>
            </w:pPr>
            <w:r>
              <w:rPr>
                <w:rFonts w:hint="eastAsia" w:ascii="宋体" w:hAnsi="宋体" w:eastAsia="宋体" w:cs="宋体"/>
                <w:b/>
                <w:bCs/>
                <w:sz w:val="18"/>
                <w:szCs w:val="18"/>
              </w:rPr>
              <w:t>执行率</w:t>
            </w:r>
          </w:p>
        </w:tc>
        <w:tc>
          <w:tcPr>
            <w:tcW w:w="720" w:type="dxa"/>
            <w:tcBorders>
              <w:top w:val="nil"/>
              <w:left w:val="nil"/>
              <w:bottom w:val="single" w:color="auto" w:sz="4" w:space="0"/>
              <w:right w:val="single" w:color="auto" w:sz="4" w:space="0"/>
            </w:tcBorders>
            <w:vAlign w:val="center"/>
          </w:tcPr>
          <w:p w14:paraId="39C8D89A">
            <w:pPr>
              <w:jc w:val="center"/>
              <w:rPr>
                <w:rFonts w:hint="eastAsia" w:ascii="宋体" w:hAnsi="宋体" w:eastAsia="宋体" w:cs="宋体"/>
                <w:b/>
                <w:bCs/>
                <w:sz w:val="18"/>
                <w:szCs w:val="18"/>
              </w:rPr>
            </w:pPr>
            <w:r>
              <w:rPr>
                <w:rFonts w:hint="eastAsia" w:ascii="宋体" w:hAnsi="宋体" w:eastAsia="宋体" w:cs="宋体"/>
                <w:b/>
                <w:bCs/>
                <w:sz w:val="18"/>
                <w:szCs w:val="18"/>
              </w:rPr>
              <w:t>得分</w:t>
            </w:r>
          </w:p>
        </w:tc>
        <w:tc>
          <w:tcPr>
            <w:tcW w:w="284" w:type="dxa"/>
            <w:tcBorders>
              <w:top w:val="nil"/>
              <w:left w:val="nil"/>
              <w:bottom w:val="nil"/>
              <w:right w:val="nil"/>
            </w:tcBorders>
            <w:noWrap/>
            <w:vAlign w:val="center"/>
          </w:tcPr>
          <w:p w14:paraId="692A5E97">
            <w:pPr>
              <w:jc w:val="center"/>
              <w:rPr>
                <w:rFonts w:hint="eastAsia" w:ascii="宋体" w:hAnsi="宋体" w:eastAsia="宋体" w:cs="宋体"/>
                <w:b/>
                <w:bCs/>
                <w:sz w:val="18"/>
                <w:szCs w:val="18"/>
              </w:rPr>
            </w:pPr>
          </w:p>
        </w:tc>
      </w:tr>
      <w:tr w14:paraId="411C1D2F">
        <w:tblPrEx>
          <w:tblCellMar>
            <w:top w:w="0" w:type="dxa"/>
            <w:left w:w="108" w:type="dxa"/>
            <w:bottom w:w="0" w:type="dxa"/>
            <w:right w:w="108" w:type="dxa"/>
          </w:tblCellMar>
        </w:tblPrEx>
        <w:trPr>
          <w:cantSplit/>
          <w:trHeight w:val="489" w:hRule="atLeast"/>
        </w:trPr>
        <w:tc>
          <w:tcPr>
            <w:tcW w:w="993" w:type="dxa"/>
            <w:vMerge w:val="continue"/>
            <w:tcBorders>
              <w:top w:val="single" w:color="auto" w:sz="4" w:space="0"/>
              <w:left w:val="single" w:color="auto" w:sz="4" w:space="0"/>
              <w:bottom w:val="single" w:color="auto" w:sz="4" w:space="0"/>
              <w:right w:val="single" w:color="auto" w:sz="4" w:space="0"/>
            </w:tcBorders>
            <w:vAlign w:val="center"/>
          </w:tcPr>
          <w:p w14:paraId="38D32730">
            <w:pPr>
              <w:jc w:val="center"/>
              <w:rPr>
                <w:rFonts w:hint="eastAsia" w:ascii="宋体" w:hAnsi="宋体" w:eastAsia="宋体" w:cs="宋体"/>
                <w:b/>
                <w:bCs/>
                <w:sz w:val="18"/>
                <w:szCs w:val="18"/>
              </w:rPr>
            </w:pPr>
          </w:p>
        </w:tc>
        <w:tc>
          <w:tcPr>
            <w:tcW w:w="1417" w:type="dxa"/>
            <w:tcBorders>
              <w:top w:val="nil"/>
              <w:left w:val="nil"/>
              <w:bottom w:val="single" w:color="auto" w:sz="4" w:space="0"/>
              <w:right w:val="single" w:color="auto" w:sz="4" w:space="0"/>
            </w:tcBorders>
            <w:noWrap/>
            <w:vAlign w:val="center"/>
          </w:tcPr>
          <w:p w14:paraId="17932D10">
            <w:pPr>
              <w:jc w:val="center"/>
              <w:rPr>
                <w:rFonts w:hint="eastAsia" w:ascii="宋体" w:hAnsi="宋体" w:eastAsia="宋体" w:cs="宋体"/>
                <w:b/>
                <w:bCs/>
                <w:sz w:val="18"/>
                <w:szCs w:val="18"/>
              </w:rPr>
            </w:pPr>
            <w:r>
              <w:rPr>
                <w:rFonts w:hint="eastAsia" w:ascii="宋体" w:hAnsi="宋体" w:eastAsia="宋体" w:cs="宋体"/>
                <w:b/>
                <w:bCs/>
                <w:sz w:val="18"/>
                <w:szCs w:val="18"/>
              </w:rPr>
              <w:t>年度总资金</w:t>
            </w:r>
          </w:p>
        </w:tc>
        <w:tc>
          <w:tcPr>
            <w:tcW w:w="1418" w:type="dxa"/>
            <w:tcBorders>
              <w:top w:val="nil"/>
              <w:left w:val="nil"/>
              <w:bottom w:val="single" w:color="auto" w:sz="4" w:space="0"/>
              <w:right w:val="single" w:color="auto" w:sz="4" w:space="0"/>
            </w:tcBorders>
            <w:vAlign w:val="center"/>
          </w:tcPr>
          <w:p w14:paraId="04348360">
            <w:pPr>
              <w:jc w:val="center"/>
              <w:rPr>
                <w:rFonts w:hint="eastAsia" w:ascii="宋体" w:hAnsi="宋体" w:eastAsia="宋体" w:cs="宋体"/>
                <w:sz w:val="18"/>
                <w:szCs w:val="18"/>
              </w:rPr>
            </w:pPr>
            <w:r>
              <w:rPr>
                <w:rFonts w:hint="eastAsia" w:ascii="宋体" w:hAnsi="宋体" w:eastAsia="宋体" w:cs="宋体"/>
                <w:sz w:val="18"/>
                <w:szCs w:val="18"/>
              </w:rPr>
              <w:t>341.28</w:t>
            </w:r>
          </w:p>
        </w:tc>
        <w:tc>
          <w:tcPr>
            <w:tcW w:w="1701" w:type="dxa"/>
            <w:tcBorders>
              <w:top w:val="nil"/>
              <w:left w:val="nil"/>
              <w:bottom w:val="single" w:color="auto" w:sz="4" w:space="0"/>
              <w:right w:val="single" w:color="auto" w:sz="4" w:space="0"/>
            </w:tcBorders>
            <w:vAlign w:val="center"/>
          </w:tcPr>
          <w:p w14:paraId="6DA0B511">
            <w:pPr>
              <w:jc w:val="center"/>
              <w:rPr>
                <w:rFonts w:hint="eastAsia" w:ascii="宋体" w:hAnsi="宋体" w:eastAsia="宋体" w:cs="宋体"/>
                <w:sz w:val="18"/>
                <w:szCs w:val="18"/>
              </w:rPr>
            </w:pPr>
            <w:r>
              <w:rPr>
                <w:rFonts w:hint="eastAsia" w:ascii="宋体" w:hAnsi="宋体" w:eastAsia="宋体" w:cs="宋体"/>
                <w:sz w:val="18"/>
                <w:szCs w:val="18"/>
              </w:rPr>
              <w:t>654.50</w:t>
            </w:r>
          </w:p>
        </w:tc>
        <w:tc>
          <w:tcPr>
            <w:tcW w:w="1276" w:type="dxa"/>
            <w:tcBorders>
              <w:top w:val="nil"/>
              <w:left w:val="nil"/>
              <w:bottom w:val="single" w:color="auto" w:sz="4" w:space="0"/>
              <w:right w:val="single" w:color="auto" w:sz="4" w:space="0"/>
            </w:tcBorders>
            <w:vAlign w:val="center"/>
          </w:tcPr>
          <w:p w14:paraId="494F3A0C">
            <w:pPr>
              <w:jc w:val="center"/>
              <w:rPr>
                <w:rFonts w:hint="eastAsia" w:ascii="宋体" w:hAnsi="宋体" w:eastAsia="宋体" w:cs="宋体"/>
                <w:sz w:val="18"/>
                <w:szCs w:val="18"/>
              </w:rPr>
            </w:pPr>
            <w:r>
              <w:rPr>
                <w:rFonts w:hint="eastAsia" w:ascii="宋体" w:hAnsi="宋体" w:eastAsia="宋体" w:cs="宋体"/>
                <w:sz w:val="18"/>
                <w:szCs w:val="18"/>
              </w:rPr>
              <w:t>637.71</w:t>
            </w:r>
          </w:p>
        </w:tc>
        <w:tc>
          <w:tcPr>
            <w:tcW w:w="1134" w:type="dxa"/>
            <w:tcBorders>
              <w:top w:val="nil"/>
              <w:left w:val="nil"/>
              <w:bottom w:val="single" w:color="auto" w:sz="4" w:space="0"/>
              <w:right w:val="single" w:color="auto" w:sz="4" w:space="0"/>
            </w:tcBorders>
            <w:vAlign w:val="center"/>
          </w:tcPr>
          <w:p w14:paraId="7F72B559">
            <w:pPr>
              <w:jc w:val="center"/>
              <w:rPr>
                <w:rFonts w:hint="eastAsia" w:ascii="宋体" w:hAnsi="宋体" w:eastAsia="宋体" w:cs="宋体"/>
                <w:sz w:val="18"/>
                <w:szCs w:val="18"/>
              </w:rPr>
            </w:pPr>
            <w:r>
              <w:rPr>
                <w:rFonts w:hint="eastAsia" w:ascii="宋体" w:hAnsi="宋体" w:eastAsia="宋体" w:cs="宋体"/>
                <w:sz w:val="18"/>
                <w:szCs w:val="18"/>
              </w:rPr>
              <w:t>10</w:t>
            </w:r>
          </w:p>
        </w:tc>
        <w:tc>
          <w:tcPr>
            <w:tcW w:w="992" w:type="dxa"/>
            <w:tcBorders>
              <w:top w:val="nil"/>
              <w:left w:val="nil"/>
              <w:bottom w:val="single" w:color="auto" w:sz="4" w:space="0"/>
              <w:right w:val="single" w:color="auto" w:sz="4" w:space="0"/>
            </w:tcBorders>
            <w:vAlign w:val="center"/>
          </w:tcPr>
          <w:p w14:paraId="6EA4131C">
            <w:pPr>
              <w:jc w:val="center"/>
              <w:rPr>
                <w:rFonts w:hint="eastAsia" w:ascii="宋体" w:hAnsi="宋体" w:eastAsia="宋体" w:cs="宋体"/>
                <w:sz w:val="18"/>
                <w:szCs w:val="18"/>
              </w:rPr>
            </w:pPr>
            <w:r>
              <w:rPr>
                <w:rFonts w:hint="eastAsia" w:ascii="宋体" w:hAnsi="宋体" w:eastAsia="宋体" w:cs="宋体"/>
                <w:sz w:val="18"/>
                <w:szCs w:val="18"/>
              </w:rPr>
              <w:t>97.43%</w:t>
            </w:r>
          </w:p>
        </w:tc>
        <w:tc>
          <w:tcPr>
            <w:tcW w:w="720" w:type="dxa"/>
            <w:tcBorders>
              <w:top w:val="nil"/>
              <w:left w:val="nil"/>
              <w:bottom w:val="single" w:color="auto" w:sz="4" w:space="0"/>
              <w:right w:val="single" w:color="auto" w:sz="4" w:space="0"/>
            </w:tcBorders>
            <w:vAlign w:val="center"/>
          </w:tcPr>
          <w:p w14:paraId="277E1C13">
            <w:pPr>
              <w:jc w:val="center"/>
              <w:rPr>
                <w:rFonts w:hint="eastAsia" w:ascii="宋体" w:hAnsi="宋体" w:eastAsia="宋体" w:cs="宋体"/>
                <w:sz w:val="18"/>
                <w:szCs w:val="18"/>
              </w:rPr>
            </w:pPr>
            <w:r>
              <w:rPr>
                <w:rFonts w:hint="eastAsia" w:ascii="宋体" w:hAnsi="宋体" w:eastAsia="宋体" w:cs="宋体"/>
                <w:sz w:val="18"/>
                <w:szCs w:val="18"/>
              </w:rPr>
              <w:t>9.74</w:t>
            </w:r>
          </w:p>
        </w:tc>
        <w:tc>
          <w:tcPr>
            <w:tcW w:w="284" w:type="dxa"/>
            <w:tcBorders>
              <w:top w:val="nil"/>
              <w:left w:val="nil"/>
              <w:bottom w:val="nil"/>
              <w:right w:val="nil"/>
            </w:tcBorders>
            <w:noWrap/>
            <w:vAlign w:val="center"/>
          </w:tcPr>
          <w:p w14:paraId="2C07C4F8">
            <w:pPr>
              <w:jc w:val="center"/>
              <w:rPr>
                <w:rFonts w:hint="eastAsia" w:ascii="宋体" w:hAnsi="宋体" w:eastAsia="宋体" w:cs="宋体"/>
                <w:b/>
                <w:bCs/>
                <w:sz w:val="18"/>
                <w:szCs w:val="18"/>
              </w:rPr>
            </w:pPr>
          </w:p>
        </w:tc>
      </w:tr>
      <w:tr w14:paraId="3EA0B96A">
        <w:tblPrEx>
          <w:tblCellMar>
            <w:top w:w="0" w:type="dxa"/>
            <w:left w:w="108" w:type="dxa"/>
            <w:bottom w:w="0" w:type="dxa"/>
            <w:right w:w="108" w:type="dxa"/>
          </w:tblCellMar>
        </w:tblPrEx>
        <w:trPr>
          <w:cantSplit/>
          <w:trHeight w:val="425" w:hRule="atLeast"/>
        </w:trPr>
        <w:tc>
          <w:tcPr>
            <w:tcW w:w="993" w:type="dxa"/>
            <w:vMerge w:val="continue"/>
            <w:tcBorders>
              <w:top w:val="single" w:color="auto" w:sz="4" w:space="0"/>
              <w:left w:val="single" w:color="auto" w:sz="4" w:space="0"/>
              <w:bottom w:val="single" w:color="auto" w:sz="4" w:space="0"/>
              <w:right w:val="single" w:color="auto" w:sz="4" w:space="0"/>
            </w:tcBorders>
            <w:vAlign w:val="center"/>
          </w:tcPr>
          <w:p w14:paraId="6E986BAA">
            <w:pPr>
              <w:jc w:val="center"/>
              <w:rPr>
                <w:rFonts w:hint="eastAsia" w:ascii="宋体" w:hAnsi="宋体" w:eastAsia="宋体" w:cs="宋体"/>
                <w:b/>
                <w:bCs/>
                <w:sz w:val="18"/>
                <w:szCs w:val="18"/>
              </w:rPr>
            </w:pPr>
          </w:p>
        </w:tc>
        <w:tc>
          <w:tcPr>
            <w:tcW w:w="1417" w:type="dxa"/>
            <w:tcBorders>
              <w:top w:val="nil"/>
              <w:left w:val="nil"/>
              <w:bottom w:val="single" w:color="auto" w:sz="4" w:space="0"/>
              <w:right w:val="single" w:color="auto" w:sz="4" w:space="0"/>
            </w:tcBorders>
            <w:vAlign w:val="center"/>
          </w:tcPr>
          <w:p w14:paraId="68673F8F">
            <w:pPr>
              <w:jc w:val="center"/>
              <w:rPr>
                <w:rFonts w:hint="eastAsia" w:ascii="宋体" w:hAnsi="宋体" w:eastAsia="宋体" w:cs="宋体"/>
                <w:b/>
                <w:bCs/>
                <w:sz w:val="18"/>
                <w:szCs w:val="18"/>
                <w:lang w:eastAsia="zh-CN"/>
              </w:rPr>
            </w:pPr>
            <w:r>
              <w:rPr>
                <w:rFonts w:hint="eastAsia" w:ascii="宋体" w:hAnsi="宋体" w:eastAsia="宋体" w:cs="宋体"/>
                <w:b/>
                <w:bCs/>
                <w:sz w:val="18"/>
                <w:szCs w:val="18"/>
                <w:lang w:eastAsia="zh-CN"/>
              </w:rPr>
              <w:t>其中:上级资金（万元）</w:t>
            </w:r>
          </w:p>
        </w:tc>
        <w:tc>
          <w:tcPr>
            <w:tcW w:w="1418" w:type="dxa"/>
            <w:tcBorders>
              <w:top w:val="nil"/>
              <w:left w:val="nil"/>
              <w:bottom w:val="single" w:color="auto" w:sz="4" w:space="0"/>
              <w:right w:val="single" w:color="auto" w:sz="4" w:space="0"/>
            </w:tcBorders>
            <w:vAlign w:val="center"/>
          </w:tcPr>
          <w:p w14:paraId="5BFE32E1">
            <w:pPr>
              <w:jc w:val="center"/>
              <w:rPr>
                <w:rFonts w:hint="eastAsia" w:ascii="宋体" w:hAnsi="宋体" w:eastAsia="宋体" w:cs="宋体"/>
                <w:sz w:val="18"/>
                <w:szCs w:val="18"/>
              </w:rPr>
            </w:pPr>
            <w:r>
              <w:rPr>
                <w:rFonts w:hint="eastAsia" w:ascii="宋体" w:hAnsi="宋体" w:eastAsia="宋体" w:cs="宋体"/>
                <w:sz w:val="18"/>
                <w:szCs w:val="18"/>
              </w:rPr>
              <w:t>0.00</w:t>
            </w:r>
          </w:p>
        </w:tc>
        <w:tc>
          <w:tcPr>
            <w:tcW w:w="1701" w:type="dxa"/>
            <w:tcBorders>
              <w:top w:val="nil"/>
              <w:left w:val="nil"/>
              <w:bottom w:val="single" w:color="auto" w:sz="4" w:space="0"/>
              <w:right w:val="single" w:color="auto" w:sz="4" w:space="0"/>
            </w:tcBorders>
            <w:vAlign w:val="center"/>
          </w:tcPr>
          <w:p w14:paraId="41F2CB16">
            <w:pPr>
              <w:jc w:val="center"/>
              <w:rPr>
                <w:rFonts w:hint="eastAsia" w:ascii="宋体" w:hAnsi="宋体" w:eastAsia="宋体" w:cs="宋体"/>
                <w:sz w:val="18"/>
                <w:szCs w:val="18"/>
              </w:rPr>
            </w:pPr>
            <w:r>
              <w:rPr>
                <w:rFonts w:hint="eastAsia" w:ascii="宋体" w:hAnsi="宋体" w:eastAsia="宋体" w:cs="宋体"/>
                <w:sz w:val="18"/>
                <w:szCs w:val="18"/>
              </w:rPr>
              <w:t>0.00</w:t>
            </w:r>
          </w:p>
        </w:tc>
        <w:tc>
          <w:tcPr>
            <w:tcW w:w="1276" w:type="dxa"/>
            <w:tcBorders>
              <w:top w:val="nil"/>
              <w:left w:val="nil"/>
              <w:bottom w:val="single" w:color="auto" w:sz="4" w:space="0"/>
              <w:right w:val="single" w:color="auto" w:sz="4" w:space="0"/>
            </w:tcBorders>
            <w:vAlign w:val="center"/>
          </w:tcPr>
          <w:p w14:paraId="1A65F3AB">
            <w:pPr>
              <w:jc w:val="center"/>
              <w:rPr>
                <w:rFonts w:hint="eastAsia" w:ascii="宋体" w:hAnsi="宋体" w:eastAsia="宋体" w:cs="宋体"/>
                <w:sz w:val="18"/>
                <w:szCs w:val="18"/>
              </w:rPr>
            </w:pPr>
            <w:r>
              <w:rPr>
                <w:rFonts w:hint="eastAsia" w:ascii="宋体" w:hAnsi="宋体" w:eastAsia="宋体" w:cs="宋体"/>
                <w:sz w:val="18"/>
                <w:szCs w:val="18"/>
              </w:rPr>
              <w:t>0.00</w:t>
            </w:r>
          </w:p>
        </w:tc>
        <w:tc>
          <w:tcPr>
            <w:tcW w:w="1134" w:type="dxa"/>
            <w:tcBorders>
              <w:top w:val="nil"/>
              <w:left w:val="nil"/>
              <w:bottom w:val="single" w:color="auto" w:sz="4" w:space="0"/>
              <w:right w:val="single" w:color="auto" w:sz="4" w:space="0"/>
            </w:tcBorders>
            <w:vAlign w:val="center"/>
          </w:tcPr>
          <w:p w14:paraId="5441B771">
            <w:pPr>
              <w:jc w:val="center"/>
              <w:rPr>
                <w:rFonts w:hint="eastAsia" w:ascii="宋体" w:hAnsi="宋体" w:eastAsia="宋体" w:cs="宋体"/>
                <w:sz w:val="18"/>
                <w:szCs w:val="18"/>
              </w:rPr>
            </w:pPr>
            <w:r>
              <w:rPr>
                <w:rFonts w:hint="eastAsia" w:ascii="宋体" w:hAnsi="宋体" w:eastAsia="宋体"/>
                <w:sz w:val="18"/>
                <w:szCs w:val="18"/>
              </w:rPr>
              <w:t>-</w:t>
            </w:r>
          </w:p>
        </w:tc>
        <w:tc>
          <w:tcPr>
            <w:tcW w:w="992" w:type="dxa"/>
            <w:tcBorders>
              <w:top w:val="nil"/>
              <w:left w:val="nil"/>
              <w:bottom w:val="single" w:color="auto" w:sz="4" w:space="0"/>
              <w:right w:val="single" w:color="auto" w:sz="4" w:space="0"/>
            </w:tcBorders>
            <w:vAlign w:val="center"/>
          </w:tcPr>
          <w:p w14:paraId="78275F76">
            <w:pPr>
              <w:jc w:val="center"/>
              <w:rPr>
                <w:rFonts w:hint="eastAsia" w:ascii="宋体" w:hAnsi="宋体" w:eastAsia="宋体" w:cs="宋体"/>
                <w:sz w:val="18"/>
                <w:szCs w:val="18"/>
              </w:rPr>
            </w:pPr>
            <w:r>
              <w:rPr>
                <w:rFonts w:hint="eastAsia" w:ascii="宋体" w:hAnsi="宋体" w:eastAsia="宋体"/>
                <w:sz w:val="18"/>
                <w:szCs w:val="18"/>
              </w:rPr>
              <w:t>-</w:t>
            </w:r>
          </w:p>
        </w:tc>
        <w:tc>
          <w:tcPr>
            <w:tcW w:w="720" w:type="dxa"/>
            <w:tcBorders>
              <w:top w:val="nil"/>
              <w:left w:val="nil"/>
              <w:bottom w:val="single" w:color="auto" w:sz="4" w:space="0"/>
              <w:right w:val="single" w:color="auto" w:sz="4" w:space="0"/>
            </w:tcBorders>
            <w:vAlign w:val="center"/>
          </w:tcPr>
          <w:p w14:paraId="198623E9">
            <w:pPr>
              <w:jc w:val="center"/>
              <w:rPr>
                <w:rFonts w:hint="eastAsia" w:ascii="宋体" w:hAnsi="宋体" w:eastAsia="宋体" w:cs="宋体"/>
                <w:sz w:val="18"/>
                <w:szCs w:val="18"/>
              </w:rPr>
            </w:pPr>
            <w:r>
              <w:rPr>
                <w:rFonts w:hint="eastAsia" w:ascii="宋体" w:hAnsi="宋体" w:eastAsia="宋体"/>
                <w:sz w:val="18"/>
                <w:szCs w:val="18"/>
              </w:rPr>
              <w:t>-</w:t>
            </w:r>
          </w:p>
        </w:tc>
        <w:tc>
          <w:tcPr>
            <w:tcW w:w="284" w:type="dxa"/>
            <w:tcBorders>
              <w:top w:val="nil"/>
              <w:left w:val="nil"/>
              <w:bottom w:val="nil"/>
              <w:right w:val="nil"/>
            </w:tcBorders>
            <w:noWrap/>
            <w:vAlign w:val="center"/>
          </w:tcPr>
          <w:p w14:paraId="4A1C66CE">
            <w:pPr>
              <w:jc w:val="center"/>
              <w:rPr>
                <w:rFonts w:hint="eastAsia" w:ascii="宋体" w:hAnsi="宋体" w:eastAsia="宋体" w:cs="宋体"/>
                <w:sz w:val="18"/>
                <w:szCs w:val="18"/>
              </w:rPr>
            </w:pPr>
          </w:p>
        </w:tc>
      </w:tr>
      <w:tr w14:paraId="306274B5">
        <w:tblPrEx>
          <w:tblCellMar>
            <w:top w:w="0" w:type="dxa"/>
            <w:left w:w="108" w:type="dxa"/>
            <w:bottom w:w="0" w:type="dxa"/>
            <w:right w:w="108" w:type="dxa"/>
          </w:tblCellMar>
        </w:tblPrEx>
        <w:trPr>
          <w:cantSplit/>
          <w:trHeight w:val="281" w:hRule="atLeast"/>
        </w:trPr>
        <w:tc>
          <w:tcPr>
            <w:tcW w:w="993" w:type="dxa"/>
            <w:vMerge w:val="continue"/>
            <w:tcBorders>
              <w:top w:val="single" w:color="auto" w:sz="4" w:space="0"/>
              <w:left w:val="single" w:color="auto" w:sz="4" w:space="0"/>
              <w:bottom w:val="single" w:color="auto" w:sz="4" w:space="0"/>
              <w:right w:val="single" w:color="auto" w:sz="4" w:space="0"/>
            </w:tcBorders>
            <w:vAlign w:val="center"/>
          </w:tcPr>
          <w:p w14:paraId="36F5E369">
            <w:pPr>
              <w:jc w:val="center"/>
              <w:rPr>
                <w:rFonts w:hint="eastAsia" w:ascii="宋体" w:hAnsi="宋体" w:eastAsia="宋体" w:cs="宋体"/>
                <w:b/>
                <w:bCs/>
                <w:sz w:val="18"/>
                <w:szCs w:val="18"/>
              </w:rPr>
            </w:pPr>
          </w:p>
        </w:tc>
        <w:tc>
          <w:tcPr>
            <w:tcW w:w="1417" w:type="dxa"/>
            <w:tcBorders>
              <w:top w:val="nil"/>
              <w:left w:val="nil"/>
              <w:bottom w:val="single" w:color="auto" w:sz="4" w:space="0"/>
              <w:right w:val="single" w:color="auto" w:sz="4" w:space="0"/>
            </w:tcBorders>
            <w:vAlign w:val="center"/>
          </w:tcPr>
          <w:p w14:paraId="12220D10">
            <w:pPr>
              <w:jc w:val="center"/>
              <w:rPr>
                <w:rFonts w:hint="eastAsia" w:ascii="宋体" w:hAnsi="宋体" w:eastAsia="宋体" w:cs="宋体"/>
                <w:b/>
                <w:bCs/>
                <w:sz w:val="18"/>
                <w:szCs w:val="18"/>
              </w:rPr>
            </w:pPr>
            <w:r>
              <w:rPr>
                <w:rFonts w:hint="eastAsia" w:ascii="宋体" w:hAnsi="宋体" w:eastAsia="宋体" w:cs="宋体"/>
                <w:b/>
                <w:bCs/>
                <w:sz w:val="18"/>
                <w:szCs w:val="18"/>
              </w:rPr>
              <w:t>本级资金（万元）</w:t>
            </w:r>
          </w:p>
        </w:tc>
        <w:tc>
          <w:tcPr>
            <w:tcW w:w="1418" w:type="dxa"/>
            <w:tcBorders>
              <w:top w:val="nil"/>
              <w:left w:val="nil"/>
              <w:bottom w:val="single" w:color="auto" w:sz="4" w:space="0"/>
              <w:right w:val="single" w:color="auto" w:sz="4" w:space="0"/>
            </w:tcBorders>
            <w:vAlign w:val="center"/>
          </w:tcPr>
          <w:p w14:paraId="3F5BD117">
            <w:pPr>
              <w:jc w:val="center"/>
              <w:rPr>
                <w:rFonts w:hint="eastAsia" w:ascii="宋体" w:hAnsi="宋体" w:eastAsia="宋体" w:cs="宋体"/>
                <w:sz w:val="18"/>
                <w:szCs w:val="18"/>
              </w:rPr>
            </w:pPr>
            <w:r>
              <w:rPr>
                <w:rFonts w:hint="eastAsia" w:ascii="宋体" w:hAnsi="宋体" w:eastAsia="宋体" w:cs="宋体"/>
                <w:sz w:val="18"/>
                <w:szCs w:val="18"/>
              </w:rPr>
              <w:t>341.28</w:t>
            </w:r>
          </w:p>
        </w:tc>
        <w:tc>
          <w:tcPr>
            <w:tcW w:w="1701" w:type="dxa"/>
            <w:tcBorders>
              <w:top w:val="nil"/>
              <w:left w:val="nil"/>
              <w:bottom w:val="single" w:color="auto" w:sz="4" w:space="0"/>
              <w:right w:val="single" w:color="auto" w:sz="4" w:space="0"/>
            </w:tcBorders>
            <w:vAlign w:val="center"/>
          </w:tcPr>
          <w:p w14:paraId="407134A0">
            <w:pPr>
              <w:jc w:val="center"/>
              <w:rPr>
                <w:rFonts w:hint="eastAsia" w:ascii="宋体" w:hAnsi="宋体" w:eastAsia="宋体" w:cs="宋体"/>
                <w:sz w:val="18"/>
                <w:szCs w:val="18"/>
              </w:rPr>
            </w:pPr>
            <w:r>
              <w:rPr>
                <w:rFonts w:hint="eastAsia" w:ascii="宋体" w:hAnsi="宋体" w:eastAsia="宋体" w:cs="宋体"/>
                <w:sz w:val="18"/>
                <w:szCs w:val="18"/>
              </w:rPr>
              <w:t>654.50</w:t>
            </w:r>
          </w:p>
        </w:tc>
        <w:tc>
          <w:tcPr>
            <w:tcW w:w="1276" w:type="dxa"/>
            <w:tcBorders>
              <w:top w:val="nil"/>
              <w:left w:val="nil"/>
              <w:bottom w:val="single" w:color="auto" w:sz="4" w:space="0"/>
              <w:right w:val="single" w:color="auto" w:sz="4" w:space="0"/>
            </w:tcBorders>
            <w:vAlign w:val="center"/>
          </w:tcPr>
          <w:p w14:paraId="51FCACB9">
            <w:pPr>
              <w:jc w:val="center"/>
              <w:rPr>
                <w:rFonts w:hint="eastAsia" w:ascii="宋体" w:hAnsi="宋体" w:eastAsia="宋体" w:cs="宋体"/>
                <w:sz w:val="18"/>
                <w:szCs w:val="18"/>
              </w:rPr>
            </w:pPr>
            <w:r>
              <w:rPr>
                <w:rFonts w:hint="eastAsia" w:ascii="宋体" w:hAnsi="宋体" w:eastAsia="宋体" w:cs="宋体"/>
                <w:sz w:val="18"/>
                <w:szCs w:val="18"/>
              </w:rPr>
              <w:t>637.71</w:t>
            </w:r>
          </w:p>
        </w:tc>
        <w:tc>
          <w:tcPr>
            <w:tcW w:w="1134" w:type="dxa"/>
            <w:tcBorders>
              <w:top w:val="nil"/>
              <w:left w:val="nil"/>
              <w:bottom w:val="single" w:color="auto" w:sz="4" w:space="0"/>
              <w:right w:val="single" w:color="auto" w:sz="4" w:space="0"/>
            </w:tcBorders>
            <w:vAlign w:val="center"/>
          </w:tcPr>
          <w:p w14:paraId="657B23CD">
            <w:pPr>
              <w:jc w:val="center"/>
              <w:rPr>
                <w:rFonts w:hint="eastAsia" w:ascii="宋体" w:hAnsi="宋体" w:eastAsia="宋体" w:cs="宋体"/>
                <w:sz w:val="18"/>
                <w:szCs w:val="18"/>
              </w:rPr>
            </w:pPr>
            <w:r>
              <w:rPr>
                <w:rFonts w:hint="eastAsia" w:ascii="宋体" w:hAnsi="宋体" w:eastAsia="宋体"/>
                <w:sz w:val="18"/>
                <w:szCs w:val="18"/>
              </w:rPr>
              <w:t>-</w:t>
            </w:r>
          </w:p>
        </w:tc>
        <w:tc>
          <w:tcPr>
            <w:tcW w:w="992" w:type="dxa"/>
            <w:tcBorders>
              <w:top w:val="nil"/>
              <w:left w:val="nil"/>
              <w:bottom w:val="single" w:color="auto" w:sz="4" w:space="0"/>
              <w:right w:val="single" w:color="auto" w:sz="4" w:space="0"/>
            </w:tcBorders>
            <w:vAlign w:val="center"/>
          </w:tcPr>
          <w:p w14:paraId="40194D35">
            <w:pPr>
              <w:jc w:val="center"/>
              <w:rPr>
                <w:rFonts w:hint="eastAsia" w:ascii="宋体" w:hAnsi="宋体" w:eastAsia="宋体" w:cs="宋体"/>
                <w:sz w:val="18"/>
                <w:szCs w:val="18"/>
              </w:rPr>
            </w:pPr>
            <w:r>
              <w:rPr>
                <w:rFonts w:hint="eastAsia" w:ascii="宋体" w:hAnsi="宋体" w:eastAsia="宋体"/>
                <w:sz w:val="18"/>
                <w:szCs w:val="18"/>
              </w:rPr>
              <w:t>-</w:t>
            </w:r>
          </w:p>
        </w:tc>
        <w:tc>
          <w:tcPr>
            <w:tcW w:w="720" w:type="dxa"/>
            <w:tcBorders>
              <w:top w:val="nil"/>
              <w:left w:val="nil"/>
              <w:bottom w:val="single" w:color="auto" w:sz="4" w:space="0"/>
              <w:right w:val="single" w:color="auto" w:sz="4" w:space="0"/>
            </w:tcBorders>
            <w:vAlign w:val="center"/>
          </w:tcPr>
          <w:p w14:paraId="25B3CD03">
            <w:pPr>
              <w:jc w:val="center"/>
              <w:rPr>
                <w:rFonts w:hint="eastAsia" w:ascii="宋体" w:hAnsi="宋体" w:eastAsia="宋体" w:cs="宋体"/>
                <w:sz w:val="18"/>
                <w:szCs w:val="18"/>
              </w:rPr>
            </w:pPr>
            <w:r>
              <w:rPr>
                <w:rFonts w:hint="eastAsia" w:ascii="宋体" w:hAnsi="宋体" w:eastAsia="宋体"/>
                <w:sz w:val="18"/>
                <w:szCs w:val="18"/>
              </w:rPr>
              <w:t>-</w:t>
            </w:r>
          </w:p>
        </w:tc>
        <w:tc>
          <w:tcPr>
            <w:tcW w:w="284" w:type="dxa"/>
            <w:tcBorders>
              <w:top w:val="nil"/>
              <w:left w:val="nil"/>
              <w:bottom w:val="nil"/>
              <w:right w:val="nil"/>
            </w:tcBorders>
            <w:noWrap/>
            <w:vAlign w:val="center"/>
          </w:tcPr>
          <w:p w14:paraId="7DCCAEFF">
            <w:pPr>
              <w:jc w:val="center"/>
              <w:rPr>
                <w:rFonts w:hint="eastAsia" w:ascii="宋体" w:hAnsi="宋体" w:eastAsia="宋体" w:cs="宋体"/>
                <w:sz w:val="18"/>
                <w:szCs w:val="18"/>
              </w:rPr>
            </w:pPr>
          </w:p>
        </w:tc>
      </w:tr>
      <w:tr w14:paraId="070985AB">
        <w:tblPrEx>
          <w:tblCellMar>
            <w:top w:w="0" w:type="dxa"/>
            <w:left w:w="108" w:type="dxa"/>
            <w:bottom w:w="0" w:type="dxa"/>
            <w:right w:w="108" w:type="dxa"/>
          </w:tblCellMar>
        </w:tblPrEx>
        <w:trPr>
          <w:cantSplit/>
          <w:trHeight w:val="373" w:hRule="atLeast"/>
        </w:trPr>
        <w:tc>
          <w:tcPr>
            <w:tcW w:w="993" w:type="dxa"/>
            <w:vMerge w:val="continue"/>
            <w:tcBorders>
              <w:top w:val="single" w:color="auto" w:sz="4" w:space="0"/>
              <w:left w:val="single" w:color="auto" w:sz="4" w:space="0"/>
              <w:bottom w:val="single" w:color="auto" w:sz="4" w:space="0"/>
              <w:right w:val="single" w:color="auto" w:sz="4" w:space="0"/>
            </w:tcBorders>
            <w:vAlign w:val="center"/>
          </w:tcPr>
          <w:p w14:paraId="4C241833">
            <w:pPr>
              <w:jc w:val="center"/>
              <w:rPr>
                <w:rFonts w:hint="eastAsia" w:ascii="宋体" w:hAnsi="宋体" w:eastAsia="宋体" w:cs="宋体"/>
                <w:b/>
                <w:bCs/>
                <w:sz w:val="18"/>
                <w:szCs w:val="18"/>
              </w:rPr>
            </w:pPr>
          </w:p>
        </w:tc>
        <w:tc>
          <w:tcPr>
            <w:tcW w:w="1417" w:type="dxa"/>
            <w:tcBorders>
              <w:top w:val="nil"/>
              <w:left w:val="nil"/>
              <w:bottom w:val="single" w:color="auto" w:sz="4" w:space="0"/>
              <w:right w:val="single" w:color="auto" w:sz="4" w:space="0"/>
            </w:tcBorders>
            <w:vAlign w:val="center"/>
          </w:tcPr>
          <w:p w14:paraId="1FC12B34">
            <w:pPr>
              <w:jc w:val="center"/>
              <w:rPr>
                <w:rFonts w:hint="eastAsia" w:ascii="宋体" w:hAnsi="宋体" w:eastAsia="宋体" w:cs="宋体"/>
                <w:b/>
                <w:bCs/>
                <w:sz w:val="18"/>
                <w:szCs w:val="18"/>
              </w:rPr>
            </w:pPr>
            <w:r>
              <w:rPr>
                <w:rFonts w:hint="eastAsia" w:ascii="宋体" w:hAnsi="宋体" w:eastAsia="宋体" w:cs="宋体"/>
                <w:b/>
                <w:bCs/>
                <w:sz w:val="18"/>
                <w:szCs w:val="18"/>
              </w:rPr>
              <w:t>其他资金（万元）</w:t>
            </w:r>
          </w:p>
        </w:tc>
        <w:tc>
          <w:tcPr>
            <w:tcW w:w="1418" w:type="dxa"/>
            <w:tcBorders>
              <w:top w:val="nil"/>
              <w:left w:val="nil"/>
              <w:bottom w:val="single" w:color="auto" w:sz="4" w:space="0"/>
              <w:right w:val="single" w:color="auto" w:sz="4" w:space="0"/>
            </w:tcBorders>
            <w:vAlign w:val="center"/>
          </w:tcPr>
          <w:p w14:paraId="50A33917">
            <w:pPr>
              <w:jc w:val="center"/>
              <w:rPr>
                <w:rFonts w:hint="eastAsia" w:ascii="宋体" w:hAnsi="宋体" w:eastAsia="宋体" w:cs="宋体"/>
                <w:sz w:val="18"/>
                <w:szCs w:val="18"/>
              </w:rPr>
            </w:pPr>
            <w:r>
              <w:rPr>
                <w:rFonts w:hint="eastAsia" w:ascii="宋体" w:hAnsi="宋体" w:eastAsia="宋体" w:cs="宋体"/>
                <w:sz w:val="18"/>
                <w:szCs w:val="18"/>
              </w:rPr>
              <w:t>0.00</w:t>
            </w:r>
          </w:p>
        </w:tc>
        <w:tc>
          <w:tcPr>
            <w:tcW w:w="1701" w:type="dxa"/>
            <w:tcBorders>
              <w:top w:val="nil"/>
              <w:left w:val="nil"/>
              <w:bottom w:val="single" w:color="auto" w:sz="4" w:space="0"/>
              <w:right w:val="single" w:color="auto" w:sz="4" w:space="0"/>
            </w:tcBorders>
            <w:vAlign w:val="center"/>
          </w:tcPr>
          <w:p w14:paraId="20D200F9">
            <w:pPr>
              <w:jc w:val="center"/>
              <w:rPr>
                <w:rFonts w:hint="eastAsia" w:ascii="宋体" w:hAnsi="宋体" w:eastAsia="宋体" w:cs="宋体"/>
                <w:sz w:val="18"/>
                <w:szCs w:val="18"/>
              </w:rPr>
            </w:pPr>
            <w:r>
              <w:rPr>
                <w:rFonts w:hint="eastAsia" w:ascii="宋体" w:hAnsi="宋体" w:eastAsia="宋体" w:cs="宋体"/>
                <w:sz w:val="18"/>
                <w:szCs w:val="18"/>
              </w:rPr>
              <w:t>0.00</w:t>
            </w:r>
          </w:p>
        </w:tc>
        <w:tc>
          <w:tcPr>
            <w:tcW w:w="1276" w:type="dxa"/>
            <w:tcBorders>
              <w:top w:val="nil"/>
              <w:left w:val="nil"/>
              <w:bottom w:val="single" w:color="auto" w:sz="4" w:space="0"/>
              <w:right w:val="single" w:color="auto" w:sz="4" w:space="0"/>
            </w:tcBorders>
            <w:vAlign w:val="center"/>
          </w:tcPr>
          <w:p w14:paraId="337C0D3A">
            <w:pPr>
              <w:jc w:val="center"/>
              <w:rPr>
                <w:rFonts w:hint="eastAsia" w:ascii="宋体" w:hAnsi="宋体" w:eastAsia="宋体" w:cs="宋体"/>
                <w:sz w:val="18"/>
                <w:szCs w:val="18"/>
              </w:rPr>
            </w:pPr>
            <w:r>
              <w:rPr>
                <w:rFonts w:hint="eastAsia" w:ascii="宋体" w:hAnsi="宋体" w:eastAsia="宋体" w:cs="宋体"/>
                <w:sz w:val="18"/>
                <w:szCs w:val="18"/>
              </w:rPr>
              <w:t>0.00</w:t>
            </w:r>
          </w:p>
        </w:tc>
        <w:tc>
          <w:tcPr>
            <w:tcW w:w="1134" w:type="dxa"/>
            <w:tcBorders>
              <w:top w:val="nil"/>
              <w:left w:val="nil"/>
              <w:bottom w:val="single" w:color="auto" w:sz="4" w:space="0"/>
              <w:right w:val="single" w:color="auto" w:sz="4" w:space="0"/>
            </w:tcBorders>
            <w:vAlign w:val="center"/>
          </w:tcPr>
          <w:p w14:paraId="39142976">
            <w:pPr>
              <w:jc w:val="center"/>
              <w:rPr>
                <w:rFonts w:hint="eastAsia" w:ascii="宋体" w:hAnsi="宋体" w:eastAsia="宋体" w:cs="宋体"/>
                <w:sz w:val="18"/>
                <w:szCs w:val="18"/>
              </w:rPr>
            </w:pPr>
            <w:r>
              <w:rPr>
                <w:rFonts w:hint="eastAsia" w:ascii="宋体" w:hAnsi="宋体" w:eastAsia="宋体" w:cs="宋体"/>
                <w:sz w:val="18"/>
                <w:szCs w:val="18"/>
              </w:rPr>
              <w:t>-</w:t>
            </w:r>
          </w:p>
        </w:tc>
        <w:tc>
          <w:tcPr>
            <w:tcW w:w="992" w:type="dxa"/>
            <w:tcBorders>
              <w:top w:val="nil"/>
              <w:left w:val="nil"/>
              <w:bottom w:val="single" w:color="auto" w:sz="4" w:space="0"/>
              <w:right w:val="single" w:color="auto" w:sz="4" w:space="0"/>
            </w:tcBorders>
            <w:vAlign w:val="center"/>
          </w:tcPr>
          <w:p w14:paraId="558760F8">
            <w:pPr>
              <w:jc w:val="center"/>
              <w:rPr>
                <w:rFonts w:hint="eastAsia" w:ascii="宋体" w:hAnsi="宋体" w:eastAsia="宋体" w:cs="宋体"/>
                <w:sz w:val="18"/>
                <w:szCs w:val="18"/>
              </w:rPr>
            </w:pPr>
            <w:r>
              <w:rPr>
                <w:rFonts w:hint="eastAsia" w:ascii="宋体" w:hAnsi="宋体" w:eastAsia="宋体" w:cs="宋体"/>
                <w:sz w:val="18"/>
                <w:szCs w:val="18"/>
              </w:rPr>
              <w:t>-</w:t>
            </w:r>
          </w:p>
        </w:tc>
        <w:tc>
          <w:tcPr>
            <w:tcW w:w="720" w:type="dxa"/>
            <w:tcBorders>
              <w:top w:val="nil"/>
              <w:left w:val="nil"/>
              <w:bottom w:val="single" w:color="auto" w:sz="4" w:space="0"/>
              <w:right w:val="single" w:color="auto" w:sz="4" w:space="0"/>
            </w:tcBorders>
            <w:vAlign w:val="center"/>
          </w:tcPr>
          <w:p w14:paraId="459FE069">
            <w:pPr>
              <w:jc w:val="center"/>
              <w:rPr>
                <w:rFonts w:hint="eastAsia" w:ascii="宋体" w:hAnsi="宋体" w:eastAsia="宋体" w:cs="宋体"/>
                <w:sz w:val="18"/>
                <w:szCs w:val="18"/>
              </w:rPr>
            </w:pPr>
            <w:r>
              <w:rPr>
                <w:rFonts w:hint="eastAsia" w:ascii="宋体" w:hAnsi="宋体" w:eastAsia="宋体" w:cs="宋体"/>
                <w:sz w:val="18"/>
                <w:szCs w:val="18"/>
              </w:rPr>
              <w:t>-</w:t>
            </w:r>
          </w:p>
        </w:tc>
        <w:tc>
          <w:tcPr>
            <w:tcW w:w="284" w:type="dxa"/>
            <w:tcBorders>
              <w:top w:val="nil"/>
              <w:left w:val="nil"/>
              <w:bottom w:val="nil"/>
              <w:right w:val="nil"/>
            </w:tcBorders>
            <w:noWrap/>
            <w:vAlign w:val="center"/>
          </w:tcPr>
          <w:p w14:paraId="2170FF94">
            <w:pPr>
              <w:jc w:val="center"/>
              <w:rPr>
                <w:rFonts w:hint="eastAsia" w:ascii="宋体" w:hAnsi="宋体" w:eastAsia="宋体" w:cs="宋体"/>
                <w:sz w:val="18"/>
                <w:szCs w:val="18"/>
              </w:rPr>
            </w:pPr>
          </w:p>
        </w:tc>
      </w:tr>
      <w:tr w14:paraId="5E06C17F">
        <w:tblPrEx>
          <w:tblCellMar>
            <w:top w:w="0" w:type="dxa"/>
            <w:left w:w="108" w:type="dxa"/>
            <w:bottom w:w="0" w:type="dxa"/>
            <w:right w:w="108" w:type="dxa"/>
          </w:tblCellMar>
        </w:tblPrEx>
        <w:trPr>
          <w:cantSplit/>
          <w:trHeight w:val="341" w:hRule="atLeast"/>
        </w:trPr>
        <w:tc>
          <w:tcPr>
            <w:tcW w:w="993" w:type="dxa"/>
            <w:vMerge w:val="restart"/>
            <w:tcBorders>
              <w:top w:val="single" w:color="auto" w:sz="4" w:space="0"/>
              <w:left w:val="single" w:color="auto" w:sz="4" w:space="0"/>
              <w:bottom w:val="single" w:color="auto" w:sz="4" w:space="0"/>
              <w:right w:val="single" w:color="auto" w:sz="4" w:space="0"/>
            </w:tcBorders>
            <w:vAlign w:val="center"/>
          </w:tcPr>
          <w:p w14:paraId="1359ADBE">
            <w:pPr>
              <w:jc w:val="center"/>
              <w:rPr>
                <w:rFonts w:hint="eastAsia" w:ascii="宋体" w:hAnsi="宋体" w:eastAsia="宋体" w:cs="宋体"/>
                <w:b/>
                <w:bCs/>
                <w:sz w:val="18"/>
                <w:szCs w:val="18"/>
              </w:rPr>
            </w:pPr>
            <w:r>
              <w:rPr>
                <w:rFonts w:hint="eastAsia" w:ascii="宋体" w:hAnsi="宋体" w:eastAsia="宋体" w:cs="宋体"/>
                <w:b/>
                <w:bCs/>
                <w:sz w:val="18"/>
                <w:szCs w:val="18"/>
              </w:rPr>
              <w:t>年度总体目标</w:t>
            </w:r>
          </w:p>
        </w:tc>
        <w:tc>
          <w:tcPr>
            <w:tcW w:w="4536" w:type="dxa"/>
            <w:gridSpan w:val="3"/>
            <w:tcBorders>
              <w:top w:val="single" w:color="auto" w:sz="4" w:space="0"/>
              <w:left w:val="nil"/>
              <w:bottom w:val="single" w:color="auto" w:sz="4" w:space="0"/>
              <w:right w:val="single" w:color="auto" w:sz="4" w:space="0"/>
            </w:tcBorders>
            <w:noWrap/>
            <w:vAlign w:val="center"/>
          </w:tcPr>
          <w:p w14:paraId="726B0379">
            <w:pPr>
              <w:jc w:val="center"/>
              <w:rPr>
                <w:rFonts w:hint="eastAsia" w:ascii="宋体" w:hAnsi="宋体" w:eastAsia="宋体" w:cs="宋体"/>
                <w:b/>
                <w:bCs/>
                <w:sz w:val="18"/>
                <w:szCs w:val="18"/>
              </w:rPr>
            </w:pPr>
            <w:r>
              <w:rPr>
                <w:rFonts w:hint="eastAsia" w:ascii="宋体" w:hAnsi="宋体" w:eastAsia="宋体" w:cs="宋体"/>
                <w:b/>
                <w:bCs/>
                <w:sz w:val="18"/>
                <w:szCs w:val="18"/>
              </w:rPr>
              <w:t>预期目标</w:t>
            </w:r>
          </w:p>
        </w:tc>
        <w:tc>
          <w:tcPr>
            <w:tcW w:w="4122" w:type="dxa"/>
            <w:gridSpan w:val="4"/>
            <w:tcBorders>
              <w:top w:val="single" w:color="auto" w:sz="4" w:space="0"/>
              <w:left w:val="nil"/>
              <w:bottom w:val="single" w:color="auto" w:sz="4" w:space="0"/>
              <w:right w:val="single" w:color="auto" w:sz="4" w:space="0"/>
            </w:tcBorders>
            <w:noWrap/>
            <w:vAlign w:val="center"/>
          </w:tcPr>
          <w:p w14:paraId="0E7134AB">
            <w:pPr>
              <w:jc w:val="center"/>
              <w:rPr>
                <w:rFonts w:hint="eastAsia" w:ascii="宋体" w:hAnsi="宋体" w:eastAsia="宋体" w:cs="宋体"/>
                <w:b/>
                <w:bCs/>
                <w:sz w:val="18"/>
                <w:szCs w:val="18"/>
              </w:rPr>
            </w:pPr>
            <w:r>
              <w:rPr>
                <w:rFonts w:hint="eastAsia" w:ascii="宋体" w:hAnsi="宋体" w:eastAsia="宋体" w:cs="宋体"/>
                <w:b/>
                <w:bCs/>
                <w:sz w:val="18"/>
                <w:szCs w:val="18"/>
              </w:rPr>
              <w:t>实际完成情况</w:t>
            </w:r>
          </w:p>
        </w:tc>
        <w:tc>
          <w:tcPr>
            <w:tcW w:w="284" w:type="dxa"/>
            <w:tcBorders>
              <w:top w:val="nil"/>
              <w:left w:val="nil"/>
              <w:bottom w:val="nil"/>
              <w:right w:val="nil"/>
            </w:tcBorders>
            <w:noWrap/>
            <w:vAlign w:val="center"/>
          </w:tcPr>
          <w:p w14:paraId="27FE3367">
            <w:pPr>
              <w:rPr>
                <w:rFonts w:hint="eastAsia" w:ascii="宋体" w:hAnsi="宋体" w:eastAsia="宋体" w:cs="宋体"/>
                <w:b/>
                <w:bCs/>
                <w:sz w:val="18"/>
                <w:szCs w:val="18"/>
              </w:rPr>
            </w:pPr>
          </w:p>
        </w:tc>
      </w:tr>
      <w:tr w14:paraId="02C89D69">
        <w:tblPrEx>
          <w:tblCellMar>
            <w:top w:w="0" w:type="dxa"/>
            <w:left w:w="108" w:type="dxa"/>
            <w:bottom w:w="0" w:type="dxa"/>
            <w:right w:w="108" w:type="dxa"/>
          </w:tblCellMar>
        </w:tblPrEx>
        <w:trPr>
          <w:cantSplit/>
          <w:trHeight w:val="705" w:hRule="atLeast"/>
        </w:trPr>
        <w:tc>
          <w:tcPr>
            <w:tcW w:w="993" w:type="dxa"/>
            <w:vMerge w:val="continue"/>
            <w:tcBorders>
              <w:top w:val="single" w:color="auto" w:sz="4" w:space="0"/>
              <w:left w:val="single" w:color="auto" w:sz="4" w:space="0"/>
              <w:bottom w:val="single" w:color="auto" w:sz="4" w:space="0"/>
              <w:right w:val="single" w:color="auto" w:sz="4" w:space="0"/>
            </w:tcBorders>
            <w:vAlign w:val="center"/>
          </w:tcPr>
          <w:p w14:paraId="4439FF20">
            <w:pPr>
              <w:rPr>
                <w:rFonts w:hint="eastAsia" w:ascii="宋体" w:hAnsi="宋体" w:eastAsia="宋体" w:cs="宋体"/>
                <w:b/>
                <w:bCs/>
                <w:sz w:val="18"/>
                <w:szCs w:val="18"/>
              </w:rPr>
            </w:pPr>
          </w:p>
        </w:tc>
        <w:tc>
          <w:tcPr>
            <w:tcW w:w="4536" w:type="dxa"/>
            <w:gridSpan w:val="3"/>
            <w:tcBorders>
              <w:top w:val="single" w:color="auto" w:sz="4" w:space="0"/>
              <w:left w:val="nil"/>
              <w:bottom w:val="single" w:color="auto" w:sz="4" w:space="0"/>
              <w:right w:val="single" w:color="auto" w:sz="4" w:space="0"/>
            </w:tcBorders>
          </w:tcPr>
          <w:p w14:paraId="7FFD4E3B">
            <w:pPr>
              <w:rPr>
                <w:rFonts w:hint="eastAsia" w:ascii="宋体" w:hAnsi="宋体" w:eastAsia="宋体" w:cs="宋体"/>
                <w:sz w:val="18"/>
                <w:szCs w:val="18"/>
                <w:lang w:eastAsia="zh-CN"/>
              </w:rPr>
            </w:pPr>
            <w:r>
              <w:rPr>
                <w:rFonts w:hint="eastAsia" w:ascii="宋体" w:hAnsi="宋体" w:eastAsia="宋体" w:cs="宋体"/>
                <w:sz w:val="18"/>
                <w:szCs w:val="18"/>
                <w:lang w:eastAsia="zh-CN"/>
              </w:rPr>
              <w:t>深入贯彻习近平新时代中国特色社会主义思想，党中央、自治区党委、市委决定和区委工作要求，对政法研究提出全局性部署，推进平安达坂城、法治达坂城建设；加强过硬队伍建设，深化智能化建设，坚决维护国家政治安全，确保社会大局稳定，促进社会公平正义，保障人民安居乐业。一是加强组织领导，完善管理制度。二是科学合理制定，强化绩效目标。2024年计划开展平安建设宣传教育培训2次，以提高群众安全防范意识；计划开展监督检查工作12次。三是加强绩效监控，实现跟踪管理。四是强化结果应用，稳推绩效评价。五是进一步贯彻执行党的路线、方针、政策和自治区、市委及区委的决策和部署，统一政法各部门的思想和行动</w:t>
            </w:r>
          </w:p>
        </w:tc>
        <w:tc>
          <w:tcPr>
            <w:tcW w:w="4122" w:type="dxa"/>
            <w:gridSpan w:val="4"/>
            <w:tcBorders>
              <w:top w:val="single" w:color="auto" w:sz="4" w:space="0"/>
              <w:left w:val="nil"/>
              <w:bottom w:val="single" w:color="auto" w:sz="4" w:space="0"/>
              <w:right w:val="single" w:color="auto" w:sz="4" w:space="0"/>
            </w:tcBorders>
          </w:tcPr>
          <w:p w14:paraId="33AF24F2">
            <w:pPr>
              <w:rPr>
                <w:rFonts w:hint="eastAsia" w:ascii="宋体" w:hAnsi="宋体" w:eastAsia="宋体" w:cs="宋体"/>
                <w:sz w:val="18"/>
                <w:szCs w:val="18"/>
                <w:lang w:eastAsia="zh-CN"/>
              </w:rPr>
            </w:pPr>
            <w:r>
              <w:rPr>
                <w:rFonts w:hint="eastAsia" w:ascii="宋体" w:hAnsi="宋体" w:eastAsia="宋体" w:cs="宋体"/>
                <w:sz w:val="18"/>
                <w:szCs w:val="18"/>
                <w:lang w:eastAsia="zh-CN"/>
              </w:rPr>
              <w:t>2024年已完成开展平安建设宣传教育培训2次，以提高群众安全防范意识；计划开展监督检查工作12次。三是加强绩效监控，实现跟踪管理。四是强化结果应用，稳推绩效评价。五是进一步贯彻执行党的路线、方针、政策和自治区、市委及区委的决策和部署，统一政法各部门的思想和行动</w:t>
            </w:r>
          </w:p>
        </w:tc>
        <w:tc>
          <w:tcPr>
            <w:tcW w:w="284" w:type="dxa"/>
            <w:tcBorders>
              <w:top w:val="nil"/>
              <w:left w:val="nil"/>
              <w:bottom w:val="nil"/>
              <w:right w:val="nil"/>
            </w:tcBorders>
            <w:noWrap/>
            <w:vAlign w:val="center"/>
          </w:tcPr>
          <w:p w14:paraId="612926F6">
            <w:pPr>
              <w:rPr>
                <w:rFonts w:hint="eastAsia" w:ascii="宋体" w:hAnsi="宋体" w:eastAsia="宋体" w:cs="宋体"/>
                <w:sz w:val="18"/>
                <w:szCs w:val="18"/>
                <w:lang w:eastAsia="zh-CN"/>
              </w:rPr>
            </w:pPr>
          </w:p>
        </w:tc>
      </w:tr>
      <w:tr w14:paraId="13C72BDC">
        <w:tblPrEx>
          <w:tblCellMar>
            <w:top w:w="0" w:type="dxa"/>
            <w:left w:w="108" w:type="dxa"/>
            <w:bottom w:w="0" w:type="dxa"/>
            <w:right w:w="108" w:type="dxa"/>
          </w:tblCellMar>
        </w:tblPrEx>
        <w:trPr>
          <w:cantSplit/>
          <w:trHeight w:val="716" w:hRule="atLeast"/>
        </w:trPr>
        <w:tc>
          <w:tcPr>
            <w:tcW w:w="993" w:type="dxa"/>
            <w:tcBorders>
              <w:top w:val="single" w:color="auto" w:sz="4" w:space="0"/>
              <w:left w:val="single" w:color="auto" w:sz="4" w:space="0"/>
              <w:bottom w:val="single" w:color="auto" w:sz="4" w:space="0"/>
              <w:right w:val="single" w:color="auto" w:sz="4" w:space="0"/>
            </w:tcBorders>
            <w:vAlign w:val="center"/>
          </w:tcPr>
          <w:p w14:paraId="654B8A27">
            <w:pPr>
              <w:jc w:val="center"/>
              <w:rPr>
                <w:rFonts w:hint="eastAsia" w:ascii="宋体" w:hAnsi="宋体" w:eastAsia="宋体" w:cs="宋体"/>
                <w:b/>
                <w:bCs/>
                <w:sz w:val="18"/>
                <w:szCs w:val="18"/>
              </w:rPr>
            </w:pPr>
            <w:r>
              <w:rPr>
                <w:rFonts w:hint="eastAsia" w:ascii="宋体" w:hAnsi="宋体" w:eastAsia="宋体" w:cs="宋体"/>
                <w:b/>
                <w:bCs/>
                <w:sz w:val="18"/>
                <w:szCs w:val="18"/>
              </w:rPr>
              <w:t>一级指标</w:t>
            </w:r>
          </w:p>
        </w:tc>
        <w:tc>
          <w:tcPr>
            <w:tcW w:w="1417" w:type="dxa"/>
            <w:tcBorders>
              <w:top w:val="nil"/>
              <w:left w:val="nil"/>
              <w:bottom w:val="single" w:color="auto" w:sz="4" w:space="0"/>
              <w:right w:val="single" w:color="auto" w:sz="4" w:space="0"/>
            </w:tcBorders>
            <w:vAlign w:val="center"/>
          </w:tcPr>
          <w:p w14:paraId="1DFFDF2D">
            <w:pPr>
              <w:jc w:val="center"/>
              <w:rPr>
                <w:rFonts w:hint="eastAsia" w:ascii="宋体" w:hAnsi="宋体" w:eastAsia="宋体" w:cs="宋体"/>
                <w:b/>
                <w:bCs/>
                <w:sz w:val="18"/>
                <w:szCs w:val="18"/>
              </w:rPr>
            </w:pPr>
            <w:r>
              <w:rPr>
                <w:rFonts w:hint="eastAsia" w:ascii="宋体" w:hAnsi="宋体" w:eastAsia="宋体" w:cs="宋体"/>
                <w:b/>
                <w:bCs/>
                <w:sz w:val="18"/>
                <w:szCs w:val="18"/>
              </w:rPr>
              <w:t>二级指标</w:t>
            </w:r>
          </w:p>
        </w:tc>
        <w:tc>
          <w:tcPr>
            <w:tcW w:w="1418" w:type="dxa"/>
            <w:tcBorders>
              <w:top w:val="nil"/>
              <w:left w:val="nil"/>
              <w:bottom w:val="single" w:color="auto" w:sz="4" w:space="0"/>
              <w:right w:val="single" w:color="auto" w:sz="4" w:space="0"/>
            </w:tcBorders>
            <w:vAlign w:val="center"/>
          </w:tcPr>
          <w:p w14:paraId="7C218621">
            <w:pPr>
              <w:jc w:val="center"/>
              <w:rPr>
                <w:rFonts w:hint="eastAsia" w:ascii="宋体" w:hAnsi="宋体" w:eastAsia="宋体" w:cs="宋体"/>
                <w:b/>
                <w:bCs/>
                <w:sz w:val="18"/>
                <w:szCs w:val="18"/>
              </w:rPr>
            </w:pPr>
            <w:r>
              <w:rPr>
                <w:rFonts w:hint="eastAsia" w:ascii="宋体" w:hAnsi="宋体" w:eastAsia="宋体" w:cs="宋体"/>
                <w:b/>
                <w:bCs/>
                <w:sz w:val="18"/>
                <w:szCs w:val="18"/>
              </w:rPr>
              <w:t>三级指标</w:t>
            </w:r>
          </w:p>
        </w:tc>
        <w:tc>
          <w:tcPr>
            <w:tcW w:w="1701" w:type="dxa"/>
            <w:tcBorders>
              <w:top w:val="nil"/>
              <w:left w:val="nil"/>
              <w:bottom w:val="single" w:color="auto" w:sz="4" w:space="0"/>
              <w:right w:val="single" w:color="auto" w:sz="4" w:space="0"/>
            </w:tcBorders>
            <w:vAlign w:val="center"/>
          </w:tcPr>
          <w:p w14:paraId="2D239674">
            <w:pPr>
              <w:jc w:val="center"/>
              <w:rPr>
                <w:rFonts w:hint="eastAsia" w:ascii="宋体" w:hAnsi="宋体" w:eastAsia="宋体" w:cs="宋体"/>
                <w:b/>
                <w:bCs/>
                <w:sz w:val="18"/>
                <w:szCs w:val="18"/>
              </w:rPr>
            </w:pPr>
            <w:r>
              <w:rPr>
                <w:rFonts w:hint="eastAsia" w:ascii="宋体" w:hAnsi="宋体" w:eastAsia="宋体" w:cs="宋体"/>
                <w:b/>
                <w:bCs/>
                <w:sz w:val="18"/>
                <w:szCs w:val="18"/>
              </w:rPr>
              <w:t>预期指标值</w:t>
            </w:r>
          </w:p>
        </w:tc>
        <w:tc>
          <w:tcPr>
            <w:tcW w:w="1276" w:type="dxa"/>
            <w:tcBorders>
              <w:top w:val="nil"/>
              <w:left w:val="nil"/>
              <w:bottom w:val="single" w:color="auto" w:sz="4" w:space="0"/>
              <w:right w:val="single" w:color="auto" w:sz="4" w:space="0"/>
            </w:tcBorders>
            <w:vAlign w:val="center"/>
          </w:tcPr>
          <w:p w14:paraId="494F9A5C">
            <w:pPr>
              <w:jc w:val="center"/>
              <w:rPr>
                <w:rFonts w:hint="eastAsia" w:ascii="宋体" w:hAnsi="宋体" w:eastAsia="宋体" w:cs="宋体"/>
                <w:b/>
                <w:bCs/>
                <w:sz w:val="18"/>
                <w:szCs w:val="18"/>
              </w:rPr>
            </w:pPr>
            <w:r>
              <w:rPr>
                <w:rFonts w:hint="eastAsia" w:ascii="宋体" w:hAnsi="宋体" w:eastAsia="宋体" w:cs="宋体"/>
                <w:b/>
                <w:bCs/>
                <w:sz w:val="18"/>
                <w:szCs w:val="18"/>
              </w:rPr>
              <w:t>指标值设定依据</w:t>
            </w:r>
          </w:p>
        </w:tc>
        <w:tc>
          <w:tcPr>
            <w:tcW w:w="1134" w:type="dxa"/>
            <w:tcBorders>
              <w:top w:val="nil"/>
              <w:left w:val="nil"/>
              <w:bottom w:val="single" w:color="auto" w:sz="4" w:space="0"/>
              <w:right w:val="single" w:color="auto" w:sz="4" w:space="0"/>
            </w:tcBorders>
            <w:vAlign w:val="center"/>
          </w:tcPr>
          <w:p w14:paraId="0DE19A6F">
            <w:pPr>
              <w:jc w:val="center"/>
              <w:rPr>
                <w:rFonts w:hint="eastAsia" w:ascii="宋体" w:hAnsi="宋体" w:eastAsia="宋体" w:cs="宋体"/>
                <w:b/>
                <w:bCs/>
                <w:sz w:val="18"/>
                <w:szCs w:val="18"/>
              </w:rPr>
            </w:pPr>
            <w:r>
              <w:rPr>
                <w:rFonts w:hint="eastAsia" w:ascii="宋体" w:hAnsi="宋体" w:eastAsia="宋体" w:cs="宋体"/>
                <w:b/>
                <w:bCs/>
                <w:sz w:val="18"/>
                <w:szCs w:val="18"/>
              </w:rPr>
              <w:t>实际完成指标值</w:t>
            </w:r>
          </w:p>
        </w:tc>
        <w:tc>
          <w:tcPr>
            <w:tcW w:w="992" w:type="dxa"/>
            <w:tcBorders>
              <w:top w:val="nil"/>
              <w:left w:val="nil"/>
              <w:bottom w:val="single" w:color="auto" w:sz="4" w:space="0"/>
              <w:right w:val="single" w:color="auto" w:sz="4" w:space="0"/>
            </w:tcBorders>
            <w:vAlign w:val="center"/>
          </w:tcPr>
          <w:p w14:paraId="22EE5417">
            <w:pPr>
              <w:jc w:val="center"/>
              <w:rPr>
                <w:rFonts w:hint="eastAsia" w:ascii="宋体" w:hAnsi="宋体" w:eastAsia="宋体" w:cs="宋体"/>
                <w:b/>
                <w:bCs/>
                <w:sz w:val="18"/>
                <w:szCs w:val="18"/>
              </w:rPr>
            </w:pPr>
            <w:r>
              <w:rPr>
                <w:rFonts w:hint="eastAsia" w:ascii="宋体" w:hAnsi="宋体" w:eastAsia="宋体" w:cs="宋体"/>
                <w:b/>
                <w:bCs/>
                <w:sz w:val="18"/>
                <w:szCs w:val="18"/>
              </w:rPr>
              <w:t>分值权重</w:t>
            </w:r>
          </w:p>
        </w:tc>
        <w:tc>
          <w:tcPr>
            <w:tcW w:w="720" w:type="dxa"/>
            <w:tcBorders>
              <w:top w:val="nil"/>
              <w:left w:val="nil"/>
              <w:bottom w:val="single" w:color="auto" w:sz="4" w:space="0"/>
              <w:right w:val="single" w:color="auto" w:sz="4" w:space="0"/>
            </w:tcBorders>
            <w:vAlign w:val="center"/>
          </w:tcPr>
          <w:p w14:paraId="2C1CBFF0">
            <w:pPr>
              <w:jc w:val="center"/>
              <w:rPr>
                <w:rFonts w:hint="eastAsia" w:ascii="宋体" w:hAnsi="宋体" w:eastAsia="宋体" w:cs="宋体"/>
                <w:b/>
                <w:bCs/>
                <w:sz w:val="18"/>
                <w:szCs w:val="18"/>
              </w:rPr>
            </w:pPr>
            <w:r>
              <w:rPr>
                <w:rFonts w:hint="eastAsia" w:ascii="宋体" w:hAnsi="宋体" w:eastAsia="宋体" w:cs="宋体"/>
                <w:b/>
                <w:bCs/>
                <w:sz w:val="18"/>
                <w:szCs w:val="18"/>
              </w:rPr>
              <w:t>得分</w:t>
            </w:r>
          </w:p>
        </w:tc>
        <w:tc>
          <w:tcPr>
            <w:tcW w:w="284" w:type="dxa"/>
            <w:tcBorders>
              <w:top w:val="nil"/>
              <w:left w:val="nil"/>
              <w:bottom w:val="nil"/>
              <w:right w:val="nil"/>
            </w:tcBorders>
            <w:noWrap/>
            <w:vAlign w:val="center"/>
          </w:tcPr>
          <w:p w14:paraId="65FC1BE6">
            <w:pPr>
              <w:rPr>
                <w:rFonts w:hint="eastAsia" w:ascii="宋体" w:hAnsi="宋体" w:eastAsia="宋体" w:cs="宋体"/>
                <w:b/>
                <w:bCs/>
                <w:sz w:val="18"/>
                <w:szCs w:val="18"/>
              </w:rPr>
            </w:pPr>
          </w:p>
        </w:tc>
      </w:tr>
      <w:tr w14:paraId="54CC655B">
        <w:tblPrEx>
          <w:tblCellMar>
            <w:top w:w="0" w:type="dxa"/>
            <w:left w:w="108" w:type="dxa"/>
            <w:bottom w:w="0" w:type="dxa"/>
            <w:right w:w="108" w:type="dxa"/>
          </w:tblCellMar>
        </w:tblPrEx>
        <w:trPr>
          <w:cantSplit/>
          <w:trHeight w:val="740" w:hRule="atLeast"/>
        </w:trPr>
        <w:tc>
          <w:tcPr>
            <w:tcW w:w="993" w:type="dxa"/>
            <w:vMerge w:val="restart"/>
            <w:tcBorders>
              <w:top w:val="single" w:color="auto" w:sz="4" w:space="0"/>
              <w:left w:val="single" w:color="auto" w:sz="4" w:space="0"/>
              <w:right w:val="single" w:color="auto" w:sz="4" w:space="0"/>
            </w:tcBorders>
            <w:noWrap/>
            <w:vAlign w:val="center"/>
          </w:tcPr>
          <w:p w14:paraId="5AEA6093">
            <w:pPr>
              <w:jc w:val="center"/>
              <w:rPr>
                <w:rFonts w:hint="eastAsia" w:ascii="宋体" w:hAnsi="宋体" w:eastAsia="宋体" w:cs="宋体"/>
                <w:sz w:val="18"/>
                <w:szCs w:val="18"/>
              </w:rPr>
            </w:pPr>
            <w:r>
              <w:rPr>
                <w:rFonts w:hint="eastAsia" w:ascii="宋体" w:hAnsi="宋体" w:eastAsia="宋体" w:cs="宋体"/>
                <w:sz w:val="18"/>
                <w:szCs w:val="18"/>
              </w:rPr>
              <w:t>履职效能</w:t>
            </w:r>
          </w:p>
        </w:tc>
        <w:tc>
          <w:tcPr>
            <w:tcW w:w="1417" w:type="dxa"/>
            <w:vMerge w:val="restart"/>
            <w:tcBorders>
              <w:top w:val="nil"/>
              <w:left w:val="nil"/>
              <w:right w:val="single" w:color="auto" w:sz="4" w:space="0"/>
            </w:tcBorders>
            <w:noWrap/>
            <w:vAlign w:val="center"/>
          </w:tcPr>
          <w:p w14:paraId="6C87D672">
            <w:pPr>
              <w:jc w:val="center"/>
              <w:rPr>
                <w:rFonts w:hint="eastAsia" w:ascii="宋体" w:hAnsi="宋体" w:eastAsia="宋体" w:cs="宋体"/>
                <w:sz w:val="18"/>
                <w:szCs w:val="18"/>
              </w:rPr>
            </w:pPr>
            <w:r>
              <w:rPr>
                <w:rFonts w:hint="eastAsia" w:ascii="宋体" w:hAnsi="宋体" w:eastAsia="宋体" w:cs="宋体"/>
                <w:sz w:val="18"/>
                <w:szCs w:val="18"/>
              </w:rPr>
              <w:t>数量指标</w:t>
            </w:r>
          </w:p>
        </w:tc>
        <w:tc>
          <w:tcPr>
            <w:tcW w:w="1418" w:type="dxa"/>
            <w:tcBorders>
              <w:top w:val="nil"/>
              <w:left w:val="nil"/>
              <w:bottom w:val="single" w:color="auto" w:sz="4" w:space="0"/>
              <w:right w:val="single" w:color="auto" w:sz="4" w:space="0"/>
            </w:tcBorders>
            <w:noWrap/>
            <w:vAlign w:val="center"/>
          </w:tcPr>
          <w:p w14:paraId="323AB499">
            <w:pPr>
              <w:jc w:val="center"/>
              <w:rPr>
                <w:rFonts w:hint="eastAsia" w:ascii="宋体" w:hAnsi="宋体" w:eastAsia="宋体" w:cs="宋体"/>
                <w:sz w:val="18"/>
                <w:szCs w:val="18"/>
              </w:rPr>
            </w:pPr>
            <w:r>
              <w:rPr>
                <w:rFonts w:hint="eastAsia" w:ascii="宋体" w:hAnsi="宋体" w:eastAsia="宋体" w:cs="宋体"/>
                <w:sz w:val="18"/>
                <w:szCs w:val="18"/>
              </w:rPr>
              <w:t>开展监督检查工作</w:t>
            </w:r>
          </w:p>
        </w:tc>
        <w:tc>
          <w:tcPr>
            <w:tcW w:w="1701" w:type="dxa"/>
            <w:tcBorders>
              <w:top w:val="nil"/>
              <w:left w:val="nil"/>
              <w:bottom w:val="single" w:color="auto" w:sz="4" w:space="0"/>
              <w:right w:val="single" w:color="auto" w:sz="4" w:space="0"/>
            </w:tcBorders>
            <w:noWrap/>
            <w:vAlign w:val="center"/>
          </w:tcPr>
          <w:p w14:paraId="112F1BB0">
            <w:pPr>
              <w:jc w:val="center"/>
              <w:rPr>
                <w:rFonts w:hint="eastAsia" w:ascii="宋体" w:hAnsi="宋体" w:eastAsia="宋体" w:cs="宋体"/>
                <w:sz w:val="18"/>
                <w:szCs w:val="18"/>
              </w:rPr>
            </w:pPr>
            <w:r>
              <w:rPr>
                <w:rFonts w:hint="eastAsia" w:ascii="宋体" w:hAnsi="宋体" w:eastAsia="宋体" w:cs="宋体"/>
                <w:sz w:val="18"/>
                <w:szCs w:val="18"/>
              </w:rPr>
              <w:t>&gt;=12次</w:t>
            </w:r>
          </w:p>
        </w:tc>
        <w:tc>
          <w:tcPr>
            <w:tcW w:w="1276" w:type="dxa"/>
            <w:tcBorders>
              <w:top w:val="nil"/>
              <w:left w:val="nil"/>
              <w:bottom w:val="single" w:color="auto" w:sz="4" w:space="0"/>
              <w:right w:val="single" w:color="auto" w:sz="4" w:space="0"/>
            </w:tcBorders>
            <w:noWrap/>
            <w:vAlign w:val="center"/>
          </w:tcPr>
          <w:p w14:paraId="5745FB10">
            <w:pPr>
              <w:rPr>
                <w:rFonts w:hint="eastAsia" w:ascii="宋体" w:hAnsi="宋体" w:eastAsia="宋体" w:cs="宋体"/>
                <w:sz w:val="18"/>
                <w:szCs w:val="18"/>
              </w:rPr>
            </w:pPr>
            <w:r>
              <w:rPr>
                <w:rFonts w:hint="eastAsia" w:ascii="宋体" w:hAnsi="宋体" w:eastAsia="宋体" w:cs="宋体"/>
                <w:sz w:val="18"/>
                <w:szCs w:val="18"/>
              </w:rPr>
              <w:t>2024年工作计划</w:t>
            </w:r>
          </w:p>
        </w:tc>
        <w:tc>
          <w:tcPr>
            <w:tcW w:w="1134" w:type="dxa"/>
            <w:tcBorders>
              <w:top w:val="nil"/>
              <w:left w:val="nil"/>
              <w:bottom w:val="single" w:color="auto" w:sz="4" w:space="0"/>
              <w:right w:val="single" w:color="auto" w:sz="4" w:space="0"/>
            </w:tcBorders>
            <w:noWrap/>
            <w:vAlign w:val="center"/>
          </w:tcPr>
          <w:p w14:paraId="32BD83A2">
            <w:pPr>
              <w:jc w:val="center"/>
              <w:rPr>
                <w:rFonts w:hint="eastAsia" w:ascii="宋体" w:hAnsi="宋体" w:eastAsia="宋体" w:cs="宋体"/>
                <w:sz w:val="18"/>
                <w:szCs w:val="18"/>
              </w:rPr>
            </w:pPr>
            <w:r>
              <w:rPr>
                <w:rFonts w:hint="eastAsia" w:ascii="宋体" w:hAnsi="宋体" w:eastAsia="宋体" w:cs="宋体"/>
                <w:sz w:val="18"/>
                <w:szCs w:val="18"/>
              </w:rPr>
              <w:t>12次</w:t>
            </w:r>
          </w:p>
        </w:tc>
        <w:tc>
          <w:tcPr>
            <w:tcW w:w="992" w:type="dxa"/>
            <w:tcBorders>
              <w:top w:val="nil"/>
              <w:left w:val="nil"/>
              <w:bottom w:val="single" w:color="auto" w:sz="4" w:space="0"/>
              <w:right w:val="single" w:color="auto" w:sz="4" w:space="0"/>
            </w:tcBorders>
            <w:noWrap/>
            <w:vAlign w:val="center"/>
          </w:tcPr>
          <w:p w14:paraId="2B6FAA21">
            <w:pPr>
              <w:jc w:val="center"/>
              <w:rPr>
                <w:rFonts w:hint="eastAsia" w:ascii="宋体" w:hAnsi="宋体" w:eastAsia="宋体" w:cs="宋体"/>
                <w:sz w:val="18"/>
                <w:szCs w:val="18"/>
              </w:rPr>
            </w:pPr>
            <w:r>
              <w:rPr>
                <w:rFonts w:hint="eastAsia" w:ascii="宋体" w:hAnsi="宋体" w:eastAsia="宋体" w:cs="宋体"/>
                <w:sz w:val="18"/>
                <w:szCs w:val="18"/>
              </w:rPr>
              <w:t>30</w:t>
            </w:r>
          </w:p>
        </w:tc>
        <w:tc>
          <w:tcPr>
            <w:tcW w:w="720" w:type="dxa"/>
            <w:tcBorders>
              <w:top w:val="nil"/>
              <w:left w:val="nil"/>
              <w:bottom w:val="single" w:color="auto" w:sz="4" w:space="0"/>
              <w:right w:val="single" w:color="auto" w:sz="4" w:space="0"/>
            </w:tcBorders>
            <w:noWrap/>
            <w:vAlign w:val="center"/>
          </w:tcPr>
          <w:p w14:paraId="75DE8A61">
            <w:pPr>
              <w:jc w:val="center"/>
              <w:rPr>
                <w:rFonts w:hint="eastAsia" w:ascii="宋体" w:hAnsi="宋体" w:eastAsia="宋体" w:cs="宋体"/>
                <w:sz w:val="18"/>
                <w:szCs w:val="18"/>
              </w:rPr>
            </w:pPr>
            <w:r>
              <w:rPr>
                <w:rFonts w:hint="eastAsia" w:ascii="宋体" w:hAnsi="宋体" w:eastAsia="宋体" w:cs="宋体"/>
                <w:sz w:val="18"/>
                <w:szCs w:val="18"/>
              </w:rPr>
              <w:t>30</w:t>
            </w:r>
          </w:p>
        </w:tc>
        <w:tc>
          <w:tcPr>
            <w:tcW w:w="284" w:type="dxa"/>
            <w:tcBorders>
              <w:top w:val="nil"/>
              <w:left w:val="nil"/>
              <w:bottom w:val="nil"/>
              <w:right w:val="nil"/>
            </w:tcBorders>
            <w:noWrap/>
            <w:vAlign w:val="center"/>
          </w:tcPr>
          <w:p w14:paraId="756F95A2">
            <w:pPr>
              <w:jc w:val="center"/>
              <w:rPr>
                <w:rFonts w:hint="eastAsia" w:ascii="宋体" w:hAnsi="宋体" w:eastAsia="宋体" w:cs="宋体"/>
                <w:sz w:val="18"/>
                <w:szCs w:val="18"/>
              </w:rPr>
            </w:pPr>
          </w:p>
        </w:tc>
      </w:tr>
      <w:tr w14:paraId="16328AE9">
        <w:tblPrEx>
          <w:tblCellMar>
            <w:top w:w="0" w:type="dxa"/>
            <w:left w:w="108" w:type="dxa"/>
            <w:bottom w:w="0" w:type="dxa"/>
            <w:right w:w="108" w:type="dxa"/>
          </w:tblCellMar>
        </w:tblPrEx>
        <w:trPr>
          <w:cantSplit/>
          <w:trHeight w:val="740" w:hRule="atLeast"/>
        </w:trPr>
        <w:tc>
          <w:tcPr>
            <w:tcW w:w="993" w:type="dxa"/>
            <w:vMerge w:val="continue"/>
            <w:tcBorders>
              <w:left w:val="single" w:color="auto" w:sz="4" w:space="0"/>
              <w:right w:val="single" w:color="auto" w:sz="4" w:space="0"/>
            </w:tcBorders>
            <w:noWrap/>
            <w:vAlign w:val="center"/>
          </w:tcPr>
          <w:p w14:paraId="4059377D">
            <w:pPr>
              <w:jc w:val="center"/>
              <w:rPr>
                <w:rFonts w:hint="eastAsia" w:ascii="宋体" w:hAnsi="宋体" w:eastAsia="宋体" w:cs="宋体"/>
                <w:sz w:val="18"/>
                <w:szCs w:val="18"/>
              </w:rPr>
            </w:pPr>
          </w:p>
        </w:tc>
        <w:tc>
          <w:tcPr>
            <w:tcW w:w="1417" w:type="dxa"/>
            <w:vMerge w:val="continue"/>
            <w:tcBorders>
              <w:left w:val="nil"/>
              <w:bottom w:val="single" w:color="auto" w:sz="4" w:space="0"/>
              <w:right w:val="single" w:color="auto" w:sz="4" w:space="0"/>
            </w:tcBorders>
            <w:noWrap/>
            <w:vAlign w:val="center"/>
          </w:tcPr>
          <w:p w14:paraId="39B291AC">
            <w:pPr>
              <w:jc w:val="center"/>
              <w:rPr>
                <w:rFonts w:hint="eastAsia" w:ascii="宋体" w:hAnsi="宋体" w:eastAsia="宋体" w:cs="宋体"/>
                <w:sz w:val="18"/>
                <w:szCs w:val="18"/>
              </w:rPr>
            </w:pPr>
          </w:p>
        </w:tc>
        <w:tc>
          <w:tcPr>
            <w:tcW w:w="1418" w:type="dxa"/>
            <w:tcBorders>
              <w:top w:val="nil"/>
              <w:left w:val="nil"/>
              <w:bottom w:val="single" w:color="auto" w:sz="4" w:space="0"/>
              <w:right w:val="single" w:color="auto" w:sz="4" w:space="0"/>
            </w:tcBorders>
            <w:noWrap/>
            <w:vAlign w:val="center"/>
          </w:tcPr>
          <w:p w14:paraId="128B5678">
            <w:pPr>
              <w:jc w:val="center"/>
              <w:rPr>
                <w:rFonts w:hint="eastAsia" w:ascii="宋体" w:hAnsi="宋体" w:eastAsia="宋体" w:cs="宋体"/>
                <w:sz w:val="18"/>
                <w:szCs w:val="18"/>
              </w:rPr>
            </w:pPr>
            <w:r>
              <w:rPr>
                <w:rFonts w:hint="eastAsia" w:ascii="宋体" w:hAnsi="宋体" w:eastAsia="宋体" w:cs="宋体"/>
                <w:sz w:val="18"/>
                <w:szCs w:val="18"/>
              </w:rPr>
              <w:t>开展法治宣传工作</w:t>
            </w:r>
          </w:p>
        </w:tc>
        <w:tc>
          <w:tcPr>
            <w:tcW w:w="1701" w:type="dxa"/>
            <w:tcBorders>
              <w:top w:val="nil"/>
              <w:left w:val="nil"/>
              <w:bottom w:val="single" w:color="auto" w:sz="4" w:space="0"/>
              <w:right w:val="single" w:color="auto" w:sz="4" w:space="0"/>
            </w:tcBorders>
            <w:noWrap/>
            <w:vAlign w:val="center"/>
          </w:tcPr>
          <w:p w14:paraId="0680EB0D">
            <w:pPr>
              <w:jc w:val="center"/>
              <w:rPr>
                <w:rFonts w:hint="eastAsia" w:ascii="宋体" w:hAnsi="宋体" w:eastAsia="宋体" w:cs="宋体"/>
                <w:sz w:val="18"/>
                <w:szCs w:val="18"/>
              </w:rPr>
            </w:pPr>
            <w:r>
              <w:rPr>
                <w:rFonts w:hint="eastAsia" w:ascii="宋体" w:hAnsi="宋体" w:eastAsia="宋体" w:cs="宋体"/>
                <w:sz w:val="18"/>
                <w:szCs w:val="18"/>
              </w:rPr>
              <w:t>&gt;=2次</w:t>
            </w:r>
          </w:p>
        </w:tc>
        <w:tc>
          <w:tcPr>
            <w:tcW w:w="1276" w:type="dxa"/>
            <w:tcBorders>
              <w:top w:val="nil"/>
              <w:left w:val="nil"/>
              <w:bottom w:val="single" w:color="auto" w:sz="4" w:space="0"/>
              <w:right w:val="single" w:color="auto" w:sz="4" w:space="0"/>
            </w:tcBorders>
            <w:noWrap/>
            <w:vAlign w:val="center"/>
          </w:tcPr>
          <w:p w14:paraId="1AC600B5">
            <w:pPr>
              <w:rPr>
                <w:rFonts w:hint="eastAsia" w:ascii="宋体" w:hAnsi="宋体" w:eastAsia="宋体" w:cs="宋体"/>
                <w:sz w:val="18"/>
                <w:szCs w:val="18"/>
              </w:rPr>
            </w:pPr>
            <w:r>
              <w:rPr>
                <w:rFonts w:hint="eastAsia" w:ascii="宋体" w:hAnsi="宋体" w:eastAsia="宋体" w:cs="宋体"/>
                <w:sz w:val="18"/>
                <w:szCs w:val="18"/>
              </w:rPr>
              <w:t>2024年工作计划</w:t>
            </w:r>
          </w:p>
        </w:tc>
        <w:tc>
          <w:tcPr>
            <w:tcW w:w="1134" w:type="dxa"/>
            <w:tcBorders>
              <w:top w:val="nil"/>
              <w:left w:val="nil"/>
              <w:bottom w:val="single" w:color="auto" w:sz="4" w:space="0"/>
              <w:right w:val="single" w:color="auto" w:sz="4" w:space="0"/>
            </w:tcBorders>
            <w:noWrap/>
            <w:vAlign w:val="center"/>
          </w:tcPr>
          <w:p w14:paraId="3915CEF6">
            <w:pPr>
              <w:jc w:val="center"/>
              <w:rPr>
                <w:rFonts w:hint="eastAsia" w:ascii="宋体" w:hAnsi="宋体" w:eastAsia="宋体" w:cs="宋体"/>
                <w:sz w:val="18"/>
                <w:szCs w:val="18"/>
              </w:rPr>
            </w:pPr>
            <w:r>
              <w:rPr>
                <w:rFonts w:hint="eastAsia" w:ascii="宋体" w:hAnsi="宋体" w:eastAsia="宋体" w:cs="宋体"/>
                <w:sz w:val="18"/>
                <w:szCs w:val="18"/>
              </w:rPr>
              <w:t>2次</w:t>
            </w:r>
          </w:p>
        </w:tc>
        <w:tc>
          <w:tcPr>
            <w:tcW w:w="992" w:type="dxa"/>
            <w:tcBorders>
              <w:top w:val="nil"/>
              <w:left w:val="nil"/>
              <w:bottom w:val="single" w:color="auto" w:sz="4" w:space="0"/>
              <w:right w:val="single" w:color="auto" w:sz="4" w:space="0"/>
            </w:tcBorders>
            <w:noWrap/>
            <w:vAlign w:val="center"/>
          </w:tcPr>
          <w:p w14:paraId="14B1777B">
            <w:pPr>
              <w:jc w:val="center"/>
              <w:rPr>
                <w:rFonts w:hint="eastAsia" w:ascii="宋体" w:hAnsi="宋体" w:eastAsia="宋体" w:cs="宋体"/>
                <w:sz w:val="18"/>
                <w:szCs w:val="18"/>
              </w:rPr>
            </w:pPr>
            <w:r>
              <w:rPr>
                <w:rFonts w:hint="eastAsia" w:ascii="宋体" w:hAnsi="宋体" w:eastAsia="宋体" w:cs="宋体"/>
                <w:sz w:val="18"/>
                <w:szCs w:val="18"/>
              </w:rPr>
              <w:t>30</w:t>
            </w:r>
          </w:p>
        </w:tc>
        <w:tc>
          <w:tcPr>
            <w:tcW w:w="720" w:type="dxa"/>
            <w:tcBorders>
              <w:top w:val="nil"/>
              <w:left w:val="nil"/>
              <w:bottom w:val="single" w:color="auto" w:sz="4" w:space="0"/>
              <w:right w:val="single" w:color="auto" w:sz="4" w:space="0"/>
            </w:tcBorders>
            <w:noWrap/>
            <w:vAlign w:val="center"/>
          </w:tcPr>
          <w:p w14:paraId="7741616D">
            <w:pPr>
              <w:jc w:val="center"/>
              <w:rPr>
                <w:rFonts w:hint="eastAsia" w:ascii="宋体" w:hAnsi="宋体" w:eastAsia="宋体" w:cs="宋体"/>
                <w:sz w:val="18"/>
                <w:szCs w:val="18"/>
              </w:rPr>
            </w:pPr>
            <w:r>
              <w:rPr>
                <w:rFonts w:hint="eastAsia" w:ascii="宋体" w:hAnsi="宋体" w:eastAsia="宋体" w:cs="宋体"/>
                <w:sz w:val="18"/>
                <w:szCs w:val="18"/>
              </w:rPr>
              <w:t>30</w:t>
            </w:r>
          </w:p>
        </w:tc>
        <w:tc>
          <w:tcPr>
            <w:tcW w:w="284" w:type="dxa"/>
            <w:tcBorders>
              <w:top w:val="nil"/>
              <w:left w:val="nil"/>
              <w:bottom w:val="nil"/>
              <w:right w:val="nil"/>
            </w:tcBorders>
            <w:noWrap/>
            <w:vAlign w:val="center"/>
          </w:tcPr>
          <w:p w14:paraId="22439832">
            <w:pPr>
              <w:jc w:val="center"/>
              <w:rPr>
                <w:rFonts w:hint="eastAsia" w:ascii="宋体" w:hAnsi="宋体" w:eastAsia="宋体" w:cs="宋体"/>
                <w:sz w:val="18"/>
                <w:szCs w:val="18"/>
              </w:rPr>
            </w:pPr>
          </w:p>
        </w:tc>
      </w:tr>
      <w:tr w14:paraId="54996883">
        <w:tblPrEx>
          <w:tblCellMar>
            <w:top w:w="0" w:type="dxa"/>
            <w:left w:w="108" w:type="dxa"/>
            <w:bottom w:w="0" w:type="dxa"/>
            <w:right w:w="108" w:type="dxa"/>
          </w:tblCellMar>
        </w:tblPrEx>
        <w:trPr>
          <w:cantSplit/>
          <w:trHeight w:val="740" w:hRule="atLeast"/>
        </w:trPr>
        <w:tc>
          <w:tcPr>
            <w:tcW w:w="993" w:type="dxa"/>
            <w:vMerge w:val="continue"/>
            <w:tcBorders>
              <w:left w:val="single" w:color="auto" w:sz="4" w:space="0"/>
              <w:bottom w:val="single" w:color="auto" w:sz="4" w:space="0"/>
              <w:right w:val="single" w:color="auto" w:sz="4" w:space="0"/>
            </w:tcBorders>
            <w:noWrap/>
            <w:vAlign w:val="center"/>
          </w:tcPr>
          <w:p w14:paraId="2C07D0D5">
            <w:pPr>
              <w:jc w:val="center"/>
              <w:rPr>
                <w:rFonts w:hint="eastAsia" w:ascii="宋体" w:hAnsi="宋体" w:eastAsia="宋体" w:cs="宋体"/>
                <w:sz w:val="18"/>
                <w:szCs w:val="18"/>
              </w:rPr>
            </w:pPr>
          </w:p>
        </w:tc>
        <w:tc>
          <w:tcPr>
            <w:tcW w:w="1417" w:type="dxa"/>
            <w:tcBorders>
              <w:top w:val="single" w:color="auto" w:sz="4" w:space="0"/>
              <w:left w:val="nil"/>
              <w:bottom w:val="single" w:color="auto" w:sz="4" w:space="0"/>
              <w:right w:val="single" w:color="auto" w:sz="4" w:space="0"/>
            </w:tcBorders>
            <w:noWrap/>
            <w:vAlign w:val="center"/>
          </w:tcPr>
          <w:p w14:paraId="42E33A18">
            <w:pPr>
              <w:jc w:val="center"/>
              <w:rPr>
                <w:rFonts w:hint="eastAsia" w:ascii="宋体" w:hAnsi="宋体" w:eastAsia="宋体" w:cs="宋体"/>
                <w:sz w:val="18"/>
                <w:szCs w:val="18"/>
              </w:rPr>
            </w:pPr>
            <w:r>
              <w:rPr>
                <w:rFonts w:hint="eastAsia" w:ascii="宋体" w:hAnsi="宋体" w:eastAsia="宋体" w:cs="宋体"/>
                <w:sz w:val="18"/>
                <w:szCs w:val="18"/>
              </w:rPr>
              <w:t>时效指标</w:t>
            </w:r>
          </w:p>
        </w:tc>
        <w:tc>
          <w:tcPr>
            <w:tcW w:w="1418" w:type="dxa"/>
            <w:tcBorders>
              <w:top w:val="single" w:color="auto" w:sz="4" w:space="0"/>
              <w:left w:val="nil"/>
              <w:bottom w:val="single" w:color="auto" w:sz="4" w:space="0"/>
              <w:right w:val="single" w:color="auto" w:sz="4" w:space="0"/>
            </w:tcBorders>
            <w:noWrap/>
            <w:vAlign w:val="center"/>
          </w:tcPr>
          <w:p w14:paraId="223885D5">
            <w:pPr>
              <w:jc w:val="center"/>
              <w:rPr>
                <w:rFonts w:hint="eastAsia" w:ascii="宋体" w:hAnsi="宋体" w:eastAsia="宋体" w:cs="宋体"/>
                <w:sz w:val="18"/>
                <w:szCs w:val="18"/>
              </w:rPr>
            </w:pPr>
            <w:r>
              <w:rPr>
                <w:rFonts w:hint="eastAsia" w:ascii="宋体" w:hAnsi="宋体" w:eastAsia="宋体" w:cs="宋体"/>
                <w:sz w:val="18"/>
                <w:szCs w:val="18"/>
              </w:rPr>
              <w:t>开展工作的及时率</w:t>
            </w:r>
          </w:p>
        </w:tc>
        <w:tc>
          <w:tcPr>
            <w:tcW w:w="1701" w:type="dxa"/>
            <w:tcBorders>
              <w:top w:val="single" w:color="auto" w:sz="4" w:space="0"/>
              <w:left w:val="nil"/>
              <w:bottom w:val="single" w:color="auto" w:sz="4" w:space="0"/>
              <w:right w:val="single" w:color="auto" w:sz="4" w:space="0"/>
            </w:tcBorders>
            <w:noWrap/>
            <w:vAlign w:val="center"/>
          </w:tcPr>
          <w:p w14:paraId="6D73116C">
            <w:pPr>
              <w:jc w:val="center"/>
              <w:rPr>
                <w:rFonts w:hint="eastAsia" w:ascii="宋体" w:hAnsi="宋体" w:eastAsia="宋体" w:cs="宋体"/>
                <w:sz w:val="18"/>
                <w:szCs w:val="18"/>
              </w:rPr>
            </w:pPr>
            <w:r>
              <w:rPr>
                <w:rFonts w:hint="eastAsia" w:ascii="宋体" w:hAnsi="宋体" w:eastAsia="宋体" w:cs="宋体"/>
                <w:sz w:val="18"/>
                <w:szCs w:val="18"/>
              </w:rPr>
              <w:t>&gt;=95%</w:t>
            </w:r>
          </w:p>
        </w:tc>
        <w:tc>
          <w:tcPr>
            <w:tcW w:w="1276" w:type="dxa"/>
            <w:tcBorders>
              <w:top w:val="single" w:color="auto" w:sz="4" w:space="0"/>
              <w:left w:val="nil"/>
              <w:bottom w:val="single" w:color="auto" w:sz="4" w:space="0"/>
              <w:right w:val="single" w:color="auto" w:sz="4" w:space="0"/>
            </w:tcBorders>
            <w:noWrap/>
            <w:vAlign w:val="center"/>
          </w:tcPr>
          <w:p w14:paraId="72703C4A">
            <w:pPr>
              <w:rPr>
                <w:rFonts w:hint="eastAsia" w:ascii="宋体" w:hAnsi="宋体" w:eastAsia="宋体" w:cs="宋体"/>
                <w:sz w:val="18"/>
                <w:szCs w:val="18"/>
              </w:rPr>
            </w:pPr>
            <w:r>
              <w:rPr>
                <w:rFonts w:hint="eastAsia" w:ascii="宋体" w:hAnsi="宋体" w:eastAsia="宋体" w:cs="宋体"/>
                <w:sz w:val="18"/>
                <w:szCs w:val="18"/>
              </w:rPr>
              <w:t>2024年工作计划</w:t>
            </w:r>
          </w:p>
        </w:tc>
        <w:tc>
          <w:tcPr>
            <w:tcW w:w="1134" w:type="dxa"/>
            <w:tcBorders>
              <w:top w:val="single" w:color="auto" w:sz="4" w:space="0"/>
              <w:left w:val="nil"/>
              <w:bottom w:val="single" w:color="auto" w:sz="4" w:space="0"/>
              <w:right w:val="single" w:color="auto" w:sz="4" w:space="0"/>
            </w:tcBorders>
            <w:noWrap/>
            <w:vAlign w:val="center"/>
          </w:tcPr>
          <w:p w14:paraId="56C5DDFD">
            <w:pPr>
              <w:jc w:val="center"/>
              <w:rPr>
                <w:rFonts w:hint="eastAsia" w:ascii="宋体" w:hAnsi="宋体" w:eastAsia="宋体" w:cs="宋体"/>
                <w:sz w:val="18"/>
                <w:szCs w:val="18"/>
              </w:rPr>
            </w:pPr>
            <w:r>
              <w:rPr>
                <w:rFonts w:hint="eastAsia" w:ascii="宋体" w:hAnsi="宋体" w:eastAsia="宋体" w:cs="宋体"/>
                <w:sz w:val="18"/>
                <w:szCs w:val="18"/>
              </w:rPr>
              <w:t>100%</w:t>
            </w:r>
          </w:p>
        </w:tc>
        <w:tc>
          <w:tcPr>
            <w:tcW w:w="992" w:type="dxa"/>
            <w:tcBorders>
              <w:top w:val="single" w:color="auto" w:sz="4" w:space="0"/>
              <w:left w:val="nil"/>
              <w:bottom w:val="single" w:color="auto" w:sz="4" w:space="0"/>
              <w:right w:val="single" w:color="auto" w:sz="4" w:space="0"/>
            </w:tcBorders>
            <w:noWrap/>
            <w:vAlign w:val="center"/>
          </w:tcPr>
          <w:p w14:paraId="7FE21D88">
            <w:pPr>
              <w:jc w:val="center"/>
              <w:rPr>
                <w:rFonts w:hint="eastAsia" w:ascii="宋体" w:hAnsi="宋体" w:eastAsia="宋体" w:cs="宋体"/>
                <w:sz w:val="18"/>
                <w:szCs w:val="18"/>
              </w:rPr>
            </w:pPr>
            <w:r>
              <w:rPr>
                <w:rFonts w:hint="eastAsia" w:ascii="宋体" w:hAnsi="宋体" w:eastAsia="宋体" w:cs="宋体"/>
                <w:sz w:val="18"/>
                <w:szCs w:val="18"/>
              </w:rPr>
              <w:t>30</w:t>
            </w:r>
          </w:p>
        </w:tc>
        <w:tc>
          <w:tcPr>
            <w:tcW w:w="720" w:type="dxa"/>
            <w:tcBorders>
              <w:top w:val="single" w:color="auto" w:sz="4" w:space="0"/>
              <w:left w:val="nil"/>
              <w:bottom w:val="single" w:color="auto" w:sz="4" w:space="0"/>
              <w:right w:val="single" w:color="auto" w:sz="4" w:space="0"/>
            </w:tcBorders>
            <w:noWrap/>
            <w:vAlign w:val="center"/>
          </w:tcPr>
          <w:p w14:paraId="2093D675">
            <w:pPr>
              <w:jc w:val="center"/>
              <w:rPr>
                <w:rFonts w:hint="eastAsia" w:ascii="宋体" w:hAnsi="宋体" w:eastAsia="宋体" w:cs="宋体"/>
                <w:sz w:val="18"/>
                <w:szCs w:val="18"/>
              </w:rPr>
            </w:pPr>
            <w:r>
              <w:rPr>
                <w:rFonts w:hint="eastAsia" w:ascii="宋体" w:hAnsi="宋体" w:eastAsia="宋体" w:cs="宋体"/>
                <w:sz w:val="18"/>
                <w:szCs w:val="18"/>
              </w:rPr>
              <w:t>30</w:t>
            </w:r>
          </w:p>
        </w:tc>
        <w:tc>
          <w:tcPr>
            <w:tcW w:w="284" w:type="dxa"/>
            <w:tcBorders>
              <w:top w:val="nil"/>
              <w:left w:val="nil"/>
              <w:bottom w:val="nil"/>
              <w:right w:val="nil"/>
            </w:tcBorders>
            <w:noWrap/>
            <w:vAlign w:val="center"/>
          </w:tcPr>
          <w:p w14:paraId="6296F748">
            <w:pPr>
              <w:jc w:val="center"/>
              <w:rPr>
                <w:rFonts w:hint="eastAsia" w:ascii="宋体" w:hAnsi="宋体" w:eastAsia="宋体" w:cs="宋体"/>
                <w:sz w:val="18"/>
                <w:szCs w:val="18"/>
              </w:rPr>
            </w:pPr>
          </w:p>
        </w:tc>
      </w:tr>
      <w:tr w14:paraId="0C295C33">
        <w:tblPrEx>
          <w:tblCellMar>
            <w:top w:w="0" w:type="dxa"/>
            <w:left w:w="108" w:type="dxa"/>
            <w:bottom w:w="0" w:type="dxa"/>
            <w:right w:w="108" w:type="dxa"/>
          </w:tblCellMar>
        </w:tblPrEx>
        <w:trPr>
          <w:cantSplit/>
          <w:trHeight w:val="740" w:hRule="atLeast"/>
        </w:trPr>
        <w:tc>
          <w:tcPr>
            <w:tcW w:w="7939" w:type="dxa"/>
            <w:gridSpan w:val="6"/>
            <w:tcBorders>
              <w:top w:val="single" w:color="auto" w:sz="4" w:space="0"/>
              <w:left w:val="single" w:color="auto" w:sz="4" w:space="0"/>
              <w:bottom w:val="single" w:color="auto" w:sz="4" w:space="0"/>
              <w:right w:val="single" w:color="auto" w:sz="4" w:space="0"/>
            </w:tcBorders>
            <w:noWrap/>
            <w:vAlign w:val="center"/>
          </w:tcPr>
          <w:p w14:paraId="1C4B3DE3">
            <w:pPr>
              <w:jc w:val="center"/>
              <w:rPr>
                <w:rFonts w:hint="eastAsia" w:ascii="宋体" w:hAnsi="宋体" w:eastAsia="宋体" w:cs="宋体"/>
                <w:sz w:val="18"/>
                <w:szCs w:val="18"/>
              </w:rPr>
            </w:pPr>
            <w:r>
              <w:rPr>
                <w:rFonts w:hint="eastAsia" w:ascii="宋体" w:hAnsi="宋体" w:eastAsia="宋体" w:cs="宋体"/>
                <w:sz w:val="18"/>
                <w:szCs w:val="18"/>
              </w:rPr>
              <w:t>总分</w:t>
            </w:r>
          </w:p>
        </w:tc>
        <w:tc>
          <w:tcPr>
            <w:tcW w:w="992" w:type="dxa"/>
            <w:tcBorders>
              <w:top w:val="single" w:color="auto" w:sz="4" w:space="0"/>
              <w:left w:val="nil"/>
              <w:bottom w:val="single" w:color="auto" w:sz="4" w:space="0"/>
              <w:right w:val="single" w:color="auto" w:sz="4" w:space="0"/>
            </w:tcBorders>
            <w:noWrap/>
            <w:vAlign w:val="center"/>
          </w:tcPr>
          <w:p w14:paraId="0D91EE35">
            <w:pPr>
              <w:jc w:val="center"/>
              <w:rPr>
                <w:rFonts w:hint="eastAsia" w:ascii="宋体" w:hAnsi="宋体" w:eastAsia="宋体" w:cs="宋体"/>
                <w:sz w:val="18"/>
                <w:szCs w:val="18"/>
              </w:rPr>
            </w:pPr>
            <w:r>
              <w:rPr>
                <w:rFonts w:hint="eastAsia" w:ascii="宋体" w:hAnsi="宋体" w:eastAsia="宋体" w:cs="宋体"/>
                <w:sz w:val="18"/>
                <w:szCs w:val="18"/>
              </w:rPr>
              <w:t>100</w:t>
            </w:r>
          </w:p>
        </w:tc>
        <w:tc>
          <w:tcPr>
            <w:tcW w:w="720" w:type="dxa"/>
            <w:tcBorders>
              <w:top w:val="single" w:color="auto" w:sz="4" w:space="0"/>
              <w:left w:val="nil"/>
              <w:bottom w:val="single" w:color="auto" w:sz="4" w:space="0"/>
              <w:right w:val="single" w:color="auto" w:sz="4" w:space="0"/>
            </w:tcBorders>
            <w:noWrap/>
            <w:vAlign w:val="center"/>
          </w:tcPr>
          <w:p w14:paraId="326C1855">
            <w:pPr>
              <w:jc w:val="center"/>
              <w:rPr>
                <w:rFonts w:hint="eastAsia" w:ascii="宋体" w:hAnsi="宋体" w:eastAsia="宋体" w:cs="宋体"/>
                <w:sz w:val="18"/>
                <w:szCs w:val="18"/>
              </w:rPr>
            </w:pPr>
            <w:r>
              <w:rPr>
                <w:rFonts w:hint="eastAsia" w:ascii="宋体" w:hAnsi="宋体" w:eastAsia="宋体" w:cs="宋体"/>
                <w:sz w:val="18"/>
                <w:szCs w:val="18"/>
              </w:rPr>
              <w:t>99.74</w:t>
            </w:r>
          </w:p>
        </w:tc>
        <w:tc>
          <w:tcPr>
            <w:tcW w:w="284" w:type="dxa"/>
            <w:tcBorders>
              <w:top w:val="nil"/>
              <w:left w:val="nil"/>
              <w:bottom w:val="nil"/>
              <w:right w:val="nil"/>
            </w:tcBorders>
            <w:noWrap/>
            <w:vAlign w:val="center"/>
          </w:tcPr>
          <w:p w14:paraId="77EE4DBE">
            <w:pPr>
              <w:jc w:val="center"/>
              <w:rPr>
                <w:rFonts w:hint="eastAsia" w:ascii="宋体" w:hAnsi="宋体" w:eastAsia="宋体" w:cs="宋体"/>
                <w:sz w:val="18"/>
                <w:szCs w:val="18"/>
              </w:rPr>
            </w:pPr>
          </w:p>
        </w:tc>
      </w:tr>
    </w:tbl>
    <w:p w14:paraId="29C2D2D7">
      <w:pPr>
        <w:jc w:val="center"/>
        <w:rPr>
          <w:rFonts w:hint="eastAsia" w:ascii="宋体" w:hAnsi="宋体" w:eastAsia="宋体" w:cs="宋体"/>
          <w:b/>
          <w:bCs/>
          <w:sz w:val="28"/>
          <w:szCs w:val="28"/>
        </w:rPr>
      </w:pPr>
      <w:r>
        <w:rPr>
          <w:rFonts w:hint="eastAsia" w:ascii="宋体" w:hAnsi="宋体" w:eastAsia="宋体" w:cs="宋体"/>
          <w:b/>
          <w:bCs/>
          <w:sz w:val="18"/>
          <w:szCs w:val="18"/>
        </w:rPr>
        <w:br w:type="page"/>
      </w:r>
      <w:r>
        <w:rPr>
          <w:rFonts w:hint="eastAsia" w:ascii="宋体" w:hAnsi="宋体" w:eastAsia="宋体" w:cs="宋体"/>
          <w:b/>
          <w:bCs/>
          <w:sz w:val="28"/>
          <w:szCs w:val="28"/>
        </w:rPr>
        <w:t>项目支出绩效自评表</w:t>
      </w:r>
    </w:p>
    <w:p w14:paraId="321F526E">
      <w:pPr>
        <w:jc w:val="center"/>
        <w:rPr>
          <w:rFonts w:hint="eastAsia" w:ascii="宋体" w:hAnsi="宋体" w:eastAsia="宋体" w:cs="宋体"/>
          <w:b/>
          <w:bCs/>
          <w:sz w:val="18"/>
          <w:szCs w:val="18"/>
        </w:rPr>
      </w:pPr>
      <w:r>
        <w:rPr>
          <w:rFonts w:hint="eastAsia" w:ascii="宋体" w:hAnsi="宋体" w:eastAsia="宋体" w:cs="宋体"/>
          <w:b/>
          <w:bCs/>
          <w:sz w:val="18"/>
          <w:szCs w:val="18"/>
        </w:rPr>
        <w:t>（2024年度）</w:t>
      </w:r>
    </w:p>
    <w:tbl>
      <w:tblPr>
        <w:tblStyle w:val="12"/>
        <w:tblW w:w="9682" w:type="dxa"/>
        <w:tblInd w:w="-502" w:type="dxa"/>
        <w:tblLayout w:type="fixed"/>
        <w:tblCellMar>
          <w:top w:w="0" w:type="dxa"/>
          <w:left w:w="108" w:type="dxa"/>
          <w:bottom w:w="0" w:type="dxa"/>
          <w:right w:w="108" w:type="dxa"/>
        </w:tblCellMar>
      </w:tblPr>
      <w:tblGrid>
        <w:gridCol w:w="598"/>
        <w:gridCol w:w="707"/>
        <w:gridCol w:w="718"/>
        <w:gridCol w:w="618"/>
        <w:gridCol w:w="1239"/>
        <w:gridCol w:w="1125"/>
        <w:gridCol w:w="1229"/>
        <w:gridCol w:w="46"/>
        <w:gridCol w:w="709"/>
        <w:gridCol w:w="425"/>
        <w:gridCol w:w="284"/>
        <w:gridCol w:w="709"/>
        <w:gridCol w:w="1275"/>
      </w:tblGrid>
      <w:tr w14:paraId="4E394DBA">
        <w:tblPrEx>
          <w:tblCellMar>
            <w:top w:w="0" w:type="dxa"/>
            <w:left w:w="108" w:type="dxa"/>
            <w:bottom w:w="0" w:type="dxa"/>
            <w:right w:w="108" w:type="dxa"/>
          </w:tblCellMar>
        </w:tblPrEx>
        <w:trPr>
          <w:cantSplit/>
          <w:trHeight w:val="500" w:hRule="atLeast"/>
        </w:trPr>
        <w:tc>
          <w:tcPr>
            <w:tcW w:w="1305" w:type="dxa"/>
            <w:gridSpan w:val="2"/>
            <w:tcBorders>
              <w:top w:val="single" w:color="auto" w:sz="4" w:space="0"/>
              <w:left w:val="single" w:color="auto" w:sz="4" w:space="0"/>
              <w:bottom w:val="single" w:color="auto" w:sz="4" w:space="0"/>
              <w:right w:val="single" w:color="auto" w:sz="4" w:space="0"/>
            </w:tcBorders>
            <w:vAlign w:val="center"/>
          </w:tcPr>
          <w:p w14:paraId="76AA1502">
            <w:pPr>
              <w:jc w:val="center"/>
              <w:rPr>
                <w:rFonts w:hint="eastAsia" w:ascii="宋体" w:hAnsi="宋体" w:eastAsia="宋体" w:cs="宋体"/>
                <w:b/>
                <w:bCs/>
                <w:color w:val="000000"/>
                <w:sz w:val="18"/>
                <w:szCs w:val="18"/>
              </w:rPr>
            </w:pPr>
            <w:r>
              <w:rPr>
                <w:rFonts w:hint="eastAsia" w:ascii="宋体" w:hAnsi="宋体" w:eastAsia="宋体" w:cs="宋体"/>
                <w:b/>
                <w:bCs/>
                <w:color w:val="000000"/>
                <w:sz w:val="18"/>
                <w:szCs w:val="18"/>
              </w:rPr>
              <w:t>项目名称</w:t>
            </w:r>
          </w:p>
        </w:tc>
        <w:tc>
          <w:tcPr>
            <w:tcW w:w="8377" w:type="dxa"/>
            <w:gridSpan w:val="11"/>
            <w:tcBorders>
              <w:top w:val="single" w:color="auto" w:sz="4" w:space="0"/>
              <w:left w:val="nil"/>
              <w:bottom w:val="single" w:color="auto" w:sz="4" w:space="0"/>
              <w:right w:val="single" w:color="000000" w:sz="4" w:space="0"/>
            </w:tcBorders>
            <w:vAlign w:val="center"/>
          </w:tcPr>
          <w:p w14:paraId="75F4DFC4">
            <w:pPr>
              <w:jc w:val="center"/>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2024年本级追加，达党财纪字【2023】1号，追加交警大队冬季被装费</w:t>
            </w:r>
          </w:p>
        </w:tc>
      </w:tr>
      <w:tr w14:paraId="2FD1247B">
        <w:tblPrEx>
          <w:tblCellMar>
            <w:top w:w="0" w:type="dxa"/>
            <w:left w:w="108" w:type="dxa"/>
            <w:bottom w:w="0" w:type="dxa"/>
            <w:right w:w="108" w:type="dxa"/>
          </w:tblCellMar>
        </w:tblPrEx>
        <w:trPr>
          <w:cantSplit/>
          <w:trHeight w:val="500" w:hRule="atLeast"/>
        </w:trPr>
        <w:tc>
          <w:tcPr>
            <w:tcW w:w="1305" w:type="dxa"/>
            <w:gridSpan w:val="2"/>
            <w:tcBorders>
              <w:top w:val="single" w:color="auto" w:sz="4" w:space="0"/>
              <w:left w:val="single" w:color="auto" w:sz="4" w:space="0"/>
              <w:bottom w:val="single" w:color="auto" w:sz="4" w:space="0"/>
              <w:right w:val="single" w:color="auto" w:sz="4" w:space="0"/>
            </w:tcBorders>
            <w:vAlign w:val="center"/>
          </w:tcPr>
          <w:p w14:paraId="0767A53A">
            <w:pPr>
              <w:jc w:val="center"/>
              <w:rPr>
                <w:rFonts w:hint="eastAsia" w:ascii="宋体" w:hAnsi="宋体" w:eastAsia="宋体" w:cs="宋体"/>
                <w:b/>
                <w:bCs/>
                <w:color w:val="000000"/>
                <w:sz w:val="18"/>
                <w:szCs w:val="18"/>
              </w:rPr>
            </w:pPr>
            <w:r>
              <w:rPr>
                <w:rFonts w:hint="eastAsia" w:ascii="宋体" w:hAnsi="宋体" w:eastAsia="宋体" w:cs="宋体"/>
                <w:b/>
                <w:bCs/>
                <w:color w:val="000000"/>
                <w:sz w:val="18"/>
                <w:szCs w:val="18"/>
              </w:rPr>
              <w:t>主管部门</w:t>
            </w:r>
          </w:p>
        </w:tc>
        <w:tc>
          <w:tcPr>
            <w:tcW w:w="3700" w:type="dxa"/>
            <w:gridSpan w:val="4"/>
            <w:tcBorders>
              <w:top w:val="single" w:color="auto" w:sz="4" w:space="0"/>
              <w:left w:val="nil"/>
              <w:bottom w:val="single" w:color="auto" w:sz="4" w:space="0"/>
              <w:right w:val="single" w:color="000000" w:sz="4" w:space="0"/>
            </w:tcBorders>
            <w:vAlign w:val="center"/>
          </w:tcPr>
          <w:p w14:paraId="2E3A4E94">
            <w:pPr>
              <w:jc w:val="center"/>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中国共产党乌鲁木齐市达坂城区政法委员会办公室</w:t>
            </w:r>
          </w:p>
        </w:tc>
        <w:tc>
          <w:tcPr>
            <w:tcW w:w="1275" w:type="dxa"/>
            <w:gridSpan w:val="2"/>
            <w:tcBorders>
              <w:top w:val="nil"/>
              <w:left w:val="nil"/>
              <w:bottom w:val="single" w:color="auto" w:sz="4" w:space="0"/>
              <w:right w:val="single" w:color="000000" w:sz="4" w:space="0"/>
            </w:tcBorders>
            <w:vAlign w:val="center"/>
          </w:tcPr>
          <w:p w14:paraId="0DE55990">
            <w:pPr>
              <w:jc w:val="center"/>
              <w:rPr>
                <w:rFonts w:hint="eastAsia" w:ascii="宋体" w:hAnsi="宋体" w:eastAsia="宋体" w:cs="宋体"/>
                <w:color w:val="000000"/>
                <w:sz w:val="18"/>
                <w:szCs w:val="18"/>
              </w:rPr>
            </w:pPr>
            <w:r>
              <w:rPr>
                <w:rFonts w:hint="eastAsia" w:ascii="宋体" w:hAnsi="宋体" w:eastAsia="宋体" w:cs="宋体"/>
                <w:b/>
                <w:bCs/>
                <w:color w:val="000000"/>
                <w:sz w:val="18"/>
                <w:szCs w:val="18"/>
              </w:rPr>
              <w:t>实施单位</w:t>
            </w:r>
          </w:p>
        </w:tc>
        <w:tc>
          <w:tcPr>
            <w:tcW w:w="3402" w:type="dxa"/>
            <w:gridSpan w:val="5"/>
            <w:tcBorders>
              <w:top w:val="nil"/>
              <w:left w:val="nil"/>
              <w:bottom w:val="single" w:color="auto" w:sz="4" w:space="0"/>
              <w:right w:val="single" w:color="000000" w:sz="4" w:space="0"/>
            </w:tcBorders>
            <w:vAlign w:val="center"/>
          </w:tcPr>
          <w:p w14:paraId="32A99BF7">
            <w:pPr>
              <w:jc w:val="center"/>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中国共产党乌鲁木齐市达坂城区政法委员会办公室</w:t>
            </w:r>
          </w:p>
        </w:tc>
      </w:tr>
      <w:tr w14:paraId="72C3849E">
        <w:tblPrEx>
          <w:tblCellMar>
            <w:top w:w="0" w:type="dxa"/>
            <w:left w:w="108" w:type="dxa"/>
            <w:bottom w:w="0" w:type="dxa"/>
            <w:right w:w="108" w:type="dxa"/>
          </w:tblCellMar>
        </w:tblPrEx>
        <w:trPr>
          <w:cantSplit/>
          <w:trHeight w:val="500" w:hRule="atLeast"/>
        </w:trPr>
        <w:tc>
          <w:tcPr>
            <w:tcW w:w="1305" w:type="dxa"/>
            <w:gridSpan w:val="2"/>
            <w:vMerge w:val="restart"/>
            <w:tcBorders>
              <w:top w:val="single" w:color="auto" w:sz="4" w:space="0"/>
              <w:left w:val="single" w:color="auto" w:sz="4" w:space="0"/>
              <w:bottom w:val="single" w:color="auto" w:sz="4" w:space="0"/>
              <w:right w:val="single" w:color="auto" w:sz="4" w:space="0"/>
            </w:tcBorders>
            <w:vAlign w:val="center"/>
          </w:tcPr>
          <w:p w14:paraId="05713CAF">
            <w:pPr>
              <w:jc w:val="center"/>
              <w:rPr>
                <w:rFonts w:hint="eastAsia" w:ascii="宋体" w:hAnsi="宋体" w:eastAsia="宋体" w:cs="宋体"/>
                <w:b/>
                <w:bCs/>
                <w:color w:val="000000"/>
                <w:sz w:val="18"/>
                <w:szCs w:val="18"/>
              </w:rPr>
            </w:pPr>
            <w:r>
              <w:rPr>
                <w:rFonts w:hint="eastAsia" w:ascii="宋体" w:hAnsi="宋体" w:eastAsia="宋体" w:cs="宋体"/>
                <w:b/>
                <w:bCs/>
                <w:color w:val="000000"/>
                <w:sz w:val="18"/>
                <w:szCs w:val="18"/>
              </w:rPr>
              <w:t>项目资金（万元）</w:t>
            </w:r>
          </w:p>
        </w:tc>
        <w:tc>
          <w:tcPr>
            <w:tcW w:w="1336" w:type="dxa"/>
            <w:gridSpan w:val="2"/>
            <w:tcBorders>
              <w:top w:val="single" w:color="auto" w:sz="4" w:space="0"/>
              <w:left w:val="nil"/>
              <w:bottom w:val="single" w:color="auto" w:sz="4" w:space="0"/>
              <w:right w:val="single" w:color="auto" w:sz="4" w:space="0"/>
            </w:tcBorders>
            <w:vAlign w:val="center"/>
          </w:tcPr>
          <w:p w14:paraId="6431A950">
            <w:pPr>
              <w:jc w:val="center"/>
              <w:rPr>
                <w:rFonts w:hint="eastAsia" w:ascii="宋体" w:hAnsi="宋体" w:eastAsia="宋体" w:cs="宋体"/>
                <w:color w:val="000000"/>
                <w:sz w:val="18"/>
                <w:szCs w:val="18"/>
              </w:rPr>
            </w:pPr>
          </w:p>
        </w:tc>
        <w:tc>
          <w:tcPr>
            <w:tcW w:w="1239" w:type="dxa"/>
            <w:tcBorders>
              <w:top w:val="single" w:color="auto" w:sz="4" w:space="0"/>
              <w:left w:val="nil"/>
              <w:bottom w:val="single" w:color="auto" w:sz="4" w:space="0"/>
              <w:right w:val="single" w:color="000000" w:sz="4" w:space="0"/>
            </w:tcBorders>
            <w:vAlign w:val="center"/>
          </w:tcPr>
          <w:p w14:paraId="6039548D">
            <w:pPr>
              <w:jc w:val="center"/>
              <w:rPr>
                <w:rFonts w:hint="eastAsia" w:ascii="宋体" w:hAnsi="宋体" w:eastAsia="宋体" w:cs="宋体"/>
                <w:b/>
                <w:bCs/>
                <w:color w:val="000000"/>
                <w:sz w:val="18"/>
                <w:szCs w:val="18"/>
              </w:rPr>
            </w:pPr>
            <w:r>
              <w:rPr>
                <w:rFonts w:hint="eastAsia" w:ascii="宋体" w:hAnsi="宋体" w:eastAsia="宋体" w:cs="宋体"/>
                <w:b/>
                <w:bCs/>
                <w:color w:val="000000"/>
                <w:sz w:val="18"/>
                <w:szCs w:val="18"/>
              </w:rPr>
              <w:t>年初预算数</w:t>
            </w:r>
          </w:p>
        </w:tc>
        <w:tc>
          <w:tcPr>
            <w:tcW w:w="1125" w:type="dxa"/>
            <w:tcBorders>
              <w:top w:val="nil"/>
              <w:left w:val="nil"/>
              <w:bottom w:val="single" w:color="auto" w:sz="4" w:space="0"/>
              <w:right w:val="single" w:color="auto" w:sz="4" w:space="0"/>
            </w:tcBorders>
            <w:vAlign w:val="center"/>
          </w:tcPr>
          <w:p w14:paraId="126D940B">
            <w:pPr>
              <w:jc w:val="center"/>
              <w:rPr>
                <w:rFonts w:hint="eastAsia" w:ascii="宋体" w:hAnsi="宋体" w:eastAsia="宋体" w:cs="宋体"/>
                <w:b/>
                <w:bCs/>
                <w:color w:val="000000"/>
                <w:sz w:val="18"/>
                <w:szCs w:val="18"/>
              </w:rPr>
            </w:pPr>
            <w:r>
              <w:rPr>
                <w:rFonts w:hint="eastAsia" w:ascii="宋体" w:hAnsi="宋体" w:eastAsia="宋体" w:cs="宋体"/>
                <w:b/>
                <w:bCs/>
                <w:color w:val="000000"/>
                <w:sz w:val="18"/>
                <w:szCs w:val="18"/>
              </w:rPr>
              <w:t>全年预算数</w:t>
            </w:r>
          </w:p>
        </w:tc>
        <w:tc>
          <w:tcPr>
            <w:tcW w:w="1275" w:type="dxa"/>
            <w:gridSpan w:val="2"/>
            <w:tcBorders>
              <w:top w:val="single" w:color="auto" w:sz="4" w:space="0"/>
              <w:left w:val="nil"/>
              <w:bottom w:val="single" w:color="auto" w:sz="4" w:space="0"/>
              <w:right w:val="single" w:color="auto" w:sz="4" w:space="0"/>
            </w:tcBorders>
            <w:vAlign w:val="center"/>
          </w:tcPr>
          <w:p w14:paraId="10D53647">
            <w:pPr>
              <w:jc w:val="center"/>
              <w:rPr>
                <w:rFonts w:hint="eastAsia" w:ascii="宋体" w:hAnsi="宋体" w:eastAsia="宋体" w:cs="宋体"/>
                <w:b/>
                <w:bCs/>
                <w:color w:val="000000"/>
                <w:sz w:val="18"/>
                <w:szCs w:val="18"/>
              </w:rPr>
            </w:pPr>
            <w:r>
              <w:rPr>
                <w:rFonts w:hint="eastAsia" w:ascii="宋体" w:hAnsi="宋体" w:eastAsia="宋体" w:cs="宋体"/>
                <w:b/>
                <w:bCs/>
                <w:color w:val="000000"/>
                <w:sz w:val="18"/>
                <w:szCs w:val="18"/>
              </w:rPr>
              <w:t>全年执行数</w:t>
            </w:r>
          </w:p>
        </w:tc>
        <w:tc>
          <w:tcPr>
            <w:tcW w:w="1134" w:type="dxa"/>
            <w:gridSpan w:val="2"/>
            <w:tcBorders>
              <w:top w:val="single" w:color="auto" w:sz="4" w:space="0"/>
              <w:left w:val="nil"/>
              <w:bottom w:val="single" w:color="auto" w:sz="4" w:space="0"/>
              <w:right w:val="single" w:color="auto" w:sz="4" w:space="0"/>
            </w:tcBorders>
            <w:vAlign w:val="center"/>
          </w:tcPr>
          <w:p w14:paraId="5E8FF1D2">
            <w:pPr>
              <w:jc w:val="center"/>
              <w:rPr>
                <w:rFonts w:hint="eastAsia" w:ascii="宋体" w:hAnsi="宋体" w:eastAsia="宋体" w:cs="宋体"/>
                <w:b/>
                <w:bCs/>
                <w:color w:val="000000"/>
                <w:sz w:val="18"/>
                <w:szCs w:val="18"/>
              </w:rPr>
            </w:pPr>
            <w:r>
              <w:rPr>
                <w:rFonts w:hint="eastAsia" w:ascii="宋体" w:hAnsi="宋体" w:eastAsia="宋体" w:cs="宋体"/>
                <w:b/>
                <w:bCs/>
                <w:color w:val="000000"/>
                <w:sz w:val="18"/>
                <w:szCs w:val="18"/>
              </w:rPr>
              <w:t>分值</w:t>
            </w:r>
          </w:p>
        </w:tc>
        <w:tc>
          <w:tcPr>
            <w:tcW w:w="993" w:type="dxa"/>
            <w:gridSpan w:val="2"/>
            <w:tcBorders>
              <w:top w:val="single" w:color="auto" w:sz="4" w:space="0"/>
              <w:left w:val="nil"/>
              <w:bottom w:val="single" w:color="auto" w:sz="4" w:space="0"/>
              <w:right w:val="single" w:color="auto" w:sz="4" w:space="0"/>
            </w:tcBorders>
            <w:vAlign w:val="center"/>
          </w:tcPr>
          <w:p w14:paraId="533CEFB0">
            <w:pPr>
              <w:jc w:val="center"/>
              <w:rPr>
                <w:rFonts w:hint="eastAsia" w:ascii="宋体" w:hAnsi="宋体" w:eastAsia="宋体" w:cs="宋体"/>
                <w:b/>
                <w:bCs/>
                <w:color w:val="000000"/>
                <w:sz w:val="18"/>
                <w:szCs w:val="18"/>
              </w:rPr>
            </w:pPr>
            <w:r>
              <w:rPr>
                <w:rFonts w:hint="eastAsia" w:ascii="宋体" w:hAnsi="宋体" w:eastAsia="宋体" w:cs="宋体"/>
                <w:b/>
                <w:bCs/>
                <w:color w:val="000000"/>
                <w:sz w:val="18"/>
                <w:szCs w:val="18"/>
              </w:rPr>
              <w:t>执行率</w:t>
            </w:r>
          </w:p>
        </w:tc>
        <w:tc>
          <w:tcPr>
            <w:tcW w:w="1275" w:type="dxa"/>
            <w:tcBorders>
              <w:top w:val="nil"/>
              <w:left w:val="nil"/>
              <w:bottom w:val="single" w:color="auto" w:sz="4" w:space="0"/>
              <w:right w:val="single" w:color="auto" w:sz="4" w:space="0"/>
            </w:tcBorders>
            <w:vAlign w:val="center"/>
          </w:tcPr>
          <w:p w14:paraId="63C40A14">
            <w:pPr>
              <w:jc w:val="center"/>
              <w:rPr>
                <w:rFonts w:hint="eastAsia" w:ascii="宋体" w:hAnsi="宋体" w:eastAsia="宋体" w:cs="宋体"/>
                <w:b/>
                <w:bCs/>
                <w:color w:val="000000"/>
                <w:sz w:val="18"/>
                <w:szCs w:val="18"/>
              </w:rPr>
            </w:pPr>
            <w:r>
              <w:rPr>
                <w:rFonts w:hint="eastAsia" w:ascii="宋体" w:hAnsi="宋体" w:eastAsia="宋体" w:cs="宋体"/>
                <w:b/>
                <w:bCs/>
                <w:color w:val="000000"/>
                <w:sz w:val="18"/>
                <w:szCs w:val="18"/>
              </w:rPr>
              <w:t>得分</w:t>
            </w:r>
          </w:p>
        </w:tc>
      </w:tr>
      <w:tr w14:paraId="7F2C963B">
        <w:tblPrEx>
          <w:tblCellMar>
            <w:top w:w="0" w:type="dxa"/>
            <w:left w:w="108" w:type="dxa"/>
            <w:bottom w:w="0" w:type="dxa"/>
            <w:right w:w="108" w:type="dxa"/>
          </w:tblCellMar>
        </w:tblPrEx>
        <w:trPr>
          <w:cantSplit/>
          <w:trHeight w:val="500" w:hRule="atLeast"/>
        </w:trPr>
        <w:tc>
          <w:tcPr>
            <w:tcW w:w="1305" w:type="dxa"/>
            <w:gridSpan w:val="2"/>
            <w:vMerge w:val="continue"/>
            <w:tcBorders>
              <w:top w:val="single" w:color="auto" w:sz="4" w:space="0"/>
              <w:left w:val="single" w:color="auto" w:sz="4" w:space="0"/>
              <w:bottom w:val="single" w:color="auto" w:sz="4" w:space="0"/>
              <w:right w:val="single" w:color="auto" w:sz="4" w:space="0"/>
            </w:tcBorders>
            <w:vAlign w:val="center"/>
          </w:tcPr>
          <w:p w14:paraId="51C39C0E">
            <w:pPr>
              <w:rPr>
                <w:rFonts w:hint="eastAsia" w:ascii="宋体" w:hAnsi="宋体" w:eastAsia="宋体" w:cs="宋体"/>
                <w:color w:val="000000"/>
                <w:sz w:val="18"/>
                <w:szCs w:val="18"/>
              </w:rPr>
            </w:pPr>
          </w:p>
        </w:tc>
        <w:tc>
          <w:tcPr>
            <w:tcW w:w="1336" w:type="dxa"/>
            <w:gridSpan w:val="2"/>
            <w:tcBorders>
              <w:top w:val="single" w:color="auto" w:sz="4" w:space="0"/>
              <w:left w:val="nil"/>
              <w:bottom w:val="single" w:color="auto" w:sz="4" w:space="0"/>
              <w:right w:val="single" w:color="auto" w:sz="4" w:space="0"/>
            </w:tcBorders>
            <w:vAlign w:val="center"/>
          </w:tcPr>
          <w:p w14:paraId="5846AC43">
            <w:pPr>
              <w:jc w:val="center"/>
              <w:rPr>
                <w:rFonts w:hint="eastAsia" w:ascii="宋体" w:hAnsi="宋体" w:eastAsia="宋体" w:cs="宋体"/>
                <w:b/>
                <w:bCs/>
                <w:color w:val="000000"/>
                <w:sz w:val="18"/>
                <w:szCs w:val="18"/>
              </w:rPr>
            </w:pPr>
            <w:r>
              <w:rPr>
                <w:rFonts w:hint="eastAsia" w:ascii="宋体" w:hAnsi="宋体" w:eastAsia="宋体" w:cs="宋体"/>
                <w:b/>
                <w:bCs/>
                <w:color w:val="000000"/>
                <w:sz w:val="18"/>
                <w:szCs w:val="18"/>
              </w:rPr>
              <w:t>年度资金总额</w:t>
            </w:r>
          </w:p>
        </w:tc>
        <w:tc>
          <w:tcPr>
            <w:tcW w:w="1239" w:type="dxa"/>
            <w:tcBorders>
              <w:top w:val="single" w:color="auto" w:sz="4" w:space="0"/>
              <w:left w:val="nil"/>
              <w:bottom w:val="single" w:color="auto" w:sz="4" w:space="0"/>
              <w:right w:val="single" w:color="000000" w:sz="4" w:space="0"/>
            </w:tcBorders>
            <w:noWrap/>
            <w:vAlign w:val="center"/>
          </w:tcPr>
          <w:p w14:paraId="2A4B64C0">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4.00</w:t>
            </w:r>
          </w:p>
        </w:tc>
        <w:tc>
          <w:tcPr>
            <w:tcW w:w="1125" w:type="dxa"/>
            <w:tcBorders>
              <w:top w:val="nil"/>
              <w:left w:val="nil"/>
              <w:bottom w:val="single" w:color="auto" w:sz="4" w:space="0"/>
              <w:right w:val="single" w:color="auto" w:sz="4" w:space="0"/>
            </w:tcBorders>
            <w:noWrap/>
            <w:vAlign w:val="center"/>
          </w:tcPr>
          <w:p w14:paraId="2964EE7F">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4.00</w:t>
            </w:r>
          </w:p>
        </w:tc>
        <w:tc>
          <w:tcPr>
            <w:tcW w:w="1275" w:type="dxa"/>
            <w:gridSpan w:val="2"/>
            <w:tcBorders>
              <w:top w:val="single" w:color="auto" w:sz="4" w:space="0"/>
              <w:left w:val="nil"/>
              <w:bottom w:val="single" w:color="auto" w:sz="4" w:space="0"/>
              <w:right w:val="single" w:color="000000" w:sz="4" w:space="0"/>
            </w:tcBorders>
            <w:noWrap/>
            <w:vAlign w:val="center"/>
          </w:tcPr>
          <w:p w14:paraId="201E4253">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4.00</w:t>
            </w:r>
          </w:p>
        </w:tc>
        <w:tc>
          <w:tcPr>
            <w:tcW w:w="1134" w:type="dxa"/>
            <w:gridSpan w:val="2"/>
            <w:tcBorders>
              <w:top w:val="single" w:color="auto" w:sz="4" w:space="0"/>
              <w:left w:val="nil"/>
              <w:bottom w:val="single" w:color="auto" w:sz="4" w:space="0"/>
              <w:right w:val="single" w:color="auto" w:sz="4" w:space="0"/>
            </w:tcBorders>
            <w:vAlign w:val="center"/>
          </w:tcPr>
          <w:p w14:paraId="43E328DE">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10</w:t>
            </w:r>
          </w:p>
        </w:tc>
        <w:tc>
          <w:tcPr>
            <w:tcW w:w="993" w:type="dxa"/>
            <w:gridSpan w:val="2"/>
            <w:tcBorders>
              <w:top w:val="single" w:color="auto" w:sz="4" w:space="0"/>
              <w:left w:val="nil"/>
              <w:bottom w:val="single" w:color="auto" w:sz="4" w:space="0"/>
              <w:right w:val="single" w:color="auto" w:sz="4" w:space="0"/>
            </w:tcBorders>
            <w:vAlign w:val="center"/>
          </w:tcPr>
          <w:p w14:paraId="7CA3A7C2">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100.00%</w:t>
            </w:r>
          </w:p>
        </w:tc>
        <w:tc>
          <w:tcPr>
            <w:tcW w:w="1275" w:type="dxa"/>
            <w:tcBorders>
              <w:top w:val="nil"/>
              <w:left w:val="nil"/>
              <w:bottom w:val="single" w:color="auto" w:sz="4" w:space="0"/>
              <w:right w:val="single" w:color="auto" w:sz="4" w:space="0"/>
            </w:tcBorders>
            <w:vAlign w:val="center"/>
          </w:tcPr>
          <w:p w14:paraId="2D67B8E3">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10.00分</w:t>
            </w:r>
          </w:p>
        </w:tc>
      </w:tr>
      <w:tr w14:paraId="6212377D">
        <w:tblPrEx>
          <w:tblCellMar>
            <w:top w:w="0" w:type="dxa"/>
            <w:left w:w="108" w:type="dxa"/>
            <w:bottom w:w="0" w:type="dxa"/>
            <w:right w:w="108" w:type="dxa"/>
          </w:tblCellMar>
        </w:tblPrEx>
        <w:trPr>
          <w:cantSplit/>
          <w:trHeight w:val="500" w:hRule="atLeast"/>
        </w:trPr>
        <w:tc>
          <w:tcPr>
            <w:tcW w:w="1305" w:type="dxa"/>
            <w:gridSpan w:val="2"/>
            <w:vMerge w:val="continue"/>
            <w:tcBorders>
              <w:top w:val="single" w:color="auto" w:sz="4" w:space="0"/>
              <w:left w:val="single" w:color="auto" w:sz="4" w:space="0"/>
              <w:bottom w:val="single" w:color="auto" w:sz="4" w:space="0"/>
              <w:right w:val="single" w:color="auto" w:sz="4" w:space="0"/>
            </w:tcBorders>
            <w:vAlign w:val="center"/>
          </w:tcPr>
          <w:p w14:paraId="6C8C575B">
            <w:pPr>
              <w:rPr>
                <w:rFonts w:hint="eastAsia" w:ascii="宋体" w:hAnsi="宋体" w:eastAsia="宋体" w:cs="宋体"/>
                <w:color w:val="000000"/>
                <w:sz w:val="18"/>
                <w:szCs w:val="18"/>
              </w:rPr>
            </w:pPr>
          </w:p>
        </w:tc>
        <w:tc>
          <w:tcPr>
            <w:tcW w:w="1336" w:type="dxa"/>
            <w:gridSpan w:val="2"/>
            <w:tcBorders>
              <w:top w:val="single" w:color="auto" w:sz="4" w:space="0"/>
              <w:left w:val="nil"/>
              <w:bottom w:val="single" w:color="auto" w:sz="4" w:space="0"/>
              <w:right w:val="single" w:color="auto" w:sz="4" w:space="0"/>
            </w:tcBorders>
            <w:vAlign w:val="center"/>
          </w:tcPr>
          <w:p w14:paraId="5F003D0F">
            <w:pPr>
              <w:jc w:val="center"/>
              <w:rPr>
                <w:rFonts w:hint="eastAsia" w:ascii="宋体" w:hAnsi="宋体" w:eastAsia="宋体" w:cs="宋体"/>
                <w:b/>
                <w:bCs/>
                <w:color w:val="000000"/>
                <w:sz w:val="18"/>
                <w:szCs w:val="18"/>
              </w:rPr>
            </w:pPr>
            <w:r>
              <w:rPr>
                <w:rFonts w:hint="eastAsia" w:ascii="宋体" w:hAnsi="宋体" w:eastAsia="宋体" w:cs="宋体"/>
                <w:b/>
                <w:bCs/>
                <w:color w:val="000000"/>
                <w:sz w:val="18"/>
                <w:szCs w:val="18"/>
              </w:rPr>
              <w:t>其中：当年财政拨款</w:t>
            </w:r>
          </w:p>
        </w:tc>
        <w:tc>
          <w:tcPr>
            <w:tcW w:w="1239" w:type="dxa"/>
            <w:tcBorders>
              <w:top w:val="single" w:color="auto" w:sz="4" w:space="0"/>
              <w:left w:val="nil"/>
              <w:bottom w:val="single" w:color="auto" w:sz="4" w:space="0"/>
              <w:right w:val="single" w:color="000000" w:sz="4" w:space="0"/>
            </w:tcBorders>
            <w:noWrap/>
            <w:vAlign w:val="center"/>
          </w:tcPr>
          <w:p w14:paraId="27336428">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4.00</w:t>
            </w:r>
          </w:p>
        </w:tc>
        <w:tc>
          <w:tcPr>
            <w:tcW w:w="1125" w:type="dxa"/>
            <w:tcBorders>
              <w:top w:val="nil"/>
              <w:left w:val="nil"/>
              <w:bottom w:val="single" w:color="auto" w:sz="4" w:space="0"/>
              <w:right w:val="single" w:color="auto" w:sz="4" w:space="0"/>
            </w:tcBorders>
            <w:noWrap/>
            <w:vAlign w:val="center"/>
          </w:tcPr>
          <w:p w14:paraId="79962819">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4.00</w:t>
            </w:r>
          </w:p>
        </w:tc>
        <w:tc>
          <w:tcPr>
            <w:tcW w:w="1275" w:type="dxa"/>
            <w:gridSpan w:val="2"/>
            <w:tcBorders>
              <w:top w:val="single" w:color="auto" w:sz="4" w:space="0"/>
              <w:left w:val="nil"/>
              <w:bottom w:val="single" w:color="auto" w:sz="4" w:space="0"/>
              <w:right w:val="single" w:color="000000" w:sz="4" w:space="0"/>
            </w:tcBorders>
            <w:noWrap/>
            <w:vAlign w:val="center"/>
          </w:tcPr>
          <w:p w14:paraId="108D318F">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4.00</w:t>
            </w:r>
          </w:p>
        </w:tc>
        <w:tc>
          <w:tcPr>
            <w:tcW w:w="1134" w:type="dxa"/>
            <w:gridSpan w:val="2"/>
            <w:tcBorders>
              <w:top w:val="single" w:color="auto" w:sz="4" w:space="0"/>
              <w:left w:val="nil"/>
              <w:bottom w:val="single" w:color="auto" w:sz="4" w:space="0"/>
              <w:right w:val="single" w:color="auto" w:sz="4" w:space="0"/>
            </w:tcBorders>
            <w:vAlign w:val="center"/>
          </w:tcPr>
          <w:p w14:paraId="13B2F2C6">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993" w:type="dxa"/>
            <w:gridSpan w:val="2"/>
            <w:tcBorders>
              <w:top w:val="single" w:color="auto" w:sz="4" w:space="0"/>
              <w:left w:val="nil"/>
              <w:bottom w:val="single" w:color="auto" w:sz="4" w:space="0"/>
              <w:right w:val="single" w:color="auto" w:sz="4" w:space="0"/>
            </w:tcBorders>
            <w:vAlign w:val="center"/>
          </w:tcPr>
          <w:p w14:paraId="531855C5">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1275" w:type="dxa"/>
            <w:tcBorders>
              <w:top w:val="nil"/>
              <w:left w:val="nil"/>
              <w:bottom w:val="single" w:color="auto" w:sz="4" w:space="0"/>
              <w:right w:val="single" w:color="auto" w:sz="4" w:space="0"/>
            </w:tcBorders>
            <w:vAlign w:val="center"/>
          </w:tcPr>
          <w:p w14:paraId="679F371D">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r>
      <w:tr w14:paraId="1FFB309B">
        <w:tblPrEx>
          <w:tblCellMar>
            <w:top w:w="0" w:type="dxa"/>
            <w:left w:w="108" w:type="dxa"/>
            <w:bottom w:w="0" w:type="dxa"/>
            <w:right w:w="108" w:type="dxa"/>
          </w:tblCellMar>
        </w:tblPrEx>
        <w:trPr>
          <w:cantSplit/>
          <w:trHeight w:val="500" w:hRule="atLeast"/>
        </w:trPr>
        <w:tc>
          <w:tcPr>
            <w:tcW w:w="1305" w:type="dxa"/>
            <w:gridSpan w:val="2"/>
            <w:vMerge w:val="continue"/>
            <w:tcBorders>
              <w:top w:val="single" w:color="auto" w:sz="4" w:space="0"/>
              <w:left w:val="single" w:color="auto" w:sz="4" w:space="0"/>
              <w:bottom w:val="single" w:color="auto" w:sz="4" w:space="0"/>
              <w:right w:val="single" w:color="auto" w:sz="4" w:space="0"/>
            </w:tcBorders>
            <w:vAlign w:val="center"/>
          </w:tcPr>
          <w:p w14:paraId="6FE79C16">
            <w:pPr>
              <w:rPr>
                <w:rFonts w:hint="eastAsia" w:ascii="宋体" w:hAnsi="宋体" w:eastAsia="宋体" w:cs="宋体"/>
                <w:color w:val="000000"/>
                <w:sz w:val="18"/>
                <w:szCs w:val="18"/>
              </w:rPr>
            </w:pPr>
          </w:p>
        </w:tc>
        <w:tc>
          <w:tcPr>
            <w:tcW w:w="1336" w:type="dxa"/>
            <w:gridSpan w:val="2"/>
            <w:tcBorders>
              <w:top w:val="single" w:color="auto" w:sz="4" w:space="0"/>
              <w:left w:val="nil"/>
              <w:bottom w:val="single" w:color="auto" w:sz="4" w:space="0"/>
              <w:right w:val="single" w:color="auto" w:sz="4" w:space="0"/>
            </w:tcBorders>
            <w:vAlign w:val="center"/>
          </w:tcPr>
          <w:p w14:paraId="235BE47E">
            <w:pPr>
              <w:jc w:val="center"/>
              <w:rPr>
                <w:rFonts w:hint="eastAsia" w:ascii="宋体" w:hAnsi="宋体" w:eastAsia="宋体" w:cs="宋体"/>
                <w:b/>
                <w:bCs/>
                <w:color w:val="000000"/>
                <w:sz w:val="18"/>
                <w:szCs w:val="18"/>
              </w:rPr>
            </w:pPr>
            <w:r>
              <w:rPr>
                <w:rFonts w:hint="eastAsia" w:ascii="宋体" w:hAnsi="宋体" w:eastAsia="宋体" w:cs="宋体"/>
                <w:b/>
                <w:bCs/>
                <w:color w:val="000000"/>
                <w:sz w:val="18"/>
                <w:szCs w:val="18"/>
              </w:rPr>
              <w:t>其他资金</w:t>
            </w:r>
          </w:p>
        </w:tc>
        <w:tc>
          <w:tcPr>
            <w:tcW w:w="1239" w:type="dxa"/>
            <w:tcBorders>
              <w:top w:val="single" w:color="auto" w:sz="4" w:space="0"/>
              <w:left w:val="nil"/>
              <w:bottom w:val="single" w:color="auto" w:sz="4" w:space="0"/>
              <w:right w:val="single" w:color="000000" w:sz="4" w:space="0"/>
            </w:tcBorders>
            <w:noWrap/>
            <w:vAlign w:val="center"/>
          </w:tcPr>
          <w:p w14:paraId="175969DA">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0.00</w:t>
            </w:r>
          </w:p>
        </w:tc>
        <w:tc>
          <w:tcPr>
            <w:tcW w:w="1125" w:type="dxa"/>
            <w:tcBorders>
              <w:top w:val="nil"/>
              <w:left w:val="nil"/>
              <w:bottom w:val="single" w:color="auto" w:sz="4" w:space="0"/>
              <w:right w:val="single" w:color="auto" w:sz="4" w:space="0"/>
            </w:tcBorders>
            <w:noWrap/>
            <w:vAlign w:val="center"/>
          </w:tcPr>
          <w:p w14:paraId="5C3E8CE3">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0.00</w:t>
            </w:r>
          </w:p>
        </w:tc>
        <w:tc>
          <w:tcPr>
            <w:tcW w:w="1275" w:type="dxa"/>
            <w:gridSpan w:val="2"/>
            <w:tcBorders>
              <w:top w:val="single" w:color="auto" w:sz="4" w:space="0"/>
              <w:left w:val="nil"/>
              <w:bottom w:val="single" w:color="auto" w:sz="4" w:space="0"/>
              <w:right w:val="single" w:color="000000" w:sz="4" w:space="0"/>
            </w:tcBorders>
            <w:noWrap/>
            <w:vAlign w:val="center"/>
          </w:tcPr>
          <w:p w14:paraId="66AFBF3F">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0.00</w:t>
            </w:r>
          </w:p>
        </w:tc>
        <w:tc>
          <w:tcPr>
            <w:tcW w:w="1134" w:type="dxa"/>
            <w:gridSpan w:val="2"/>
            <w:tcBorders>
              <w:top w:val="single" w:color="auto" w:sz="4" w:space="0"/>
              <w:left w:val="nil"/>
              <w:bottom w:val="single" w:color="auto" w:sz="4" w:space="0"/>
              <w:right w:val="single" w:color="auto" w:sz="4" w:space="0"/>
            </w:tcBorders>
            <w:vAlign w:val="center"/>
          </w:tcPr>
          <w:p w14:paraId="7F48CB78">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993" w:type="dxa"/>
            <w:gridSpan w:val="2"/>
            <w:tcBorders>
              <w:top w:val="single" w:color="auto" w:sz="4" w:space="0"/>
              <w:left w:val="nil"/>
              <w:bottom w:val="single" w:color="auto" w:sz="4" w:space="0"/>
              <w:right w:val="single" w:color="auto" w:sz="4" w:space="0"/>
            </w:tcBorders>
            <w:vAlign w:val="center"/>
          </w:tcPr>
          <w:p w14:paraId="26B2B6E7">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1275" w:type="dxa"/>
            <w:tcBorders>
              <w:top w:val="nil"/>
              <w:left w:val="nil"/>
              <w:bottom w:val="single" w:color="auto" w:sz="4" w:space="0"/>
              <w:right w:val="single" w:color="auto" w:sz="4" w:space="0"/>
            </w:tcBorders>
            <w:vAlign w:val="center"/>
          </w:tcPr>
          <w:p w14:paraId="311F7C95">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r>
      <w:tr w14:paraId="0F38580C">
        <w:tblPrEx>
          <w:tblCellMar>
            <w:top w:w="0" w:type="dxa"/>
            <w:left w:w="108" w:type="dxa"/>
            <w:bottom w:w="0" w:type="dxa"/>
            <w:right w:w="108" w:type="dxa"/>
          </w:tblCellMar>
        </w:tblPrEx>
        <w:trPr>
          <w:cantSplit/>
          <w:trHeight w:val="500" w:hRule="atLeast"/>
        </w:trPr>
        <w:tc>
          <w:tcPr>
            <w:tcW w:w="598" w:type="dxa"/>
            <w:vMerge w:val="restart"/>
            <w:tcBorders>
              <w:top w:val="nil"/>
              <w:left w:val="single" w:color="auto" w:sz="4" w:space="0"/>
              <w:bottom w:val="single" w:color="auto" w:sz="4" w:space="0"/>
              <w:right w:val="single" w:color="auto" w:sz="4" w:space="0"/>
            </w:tcBorders>
            <w:vAlign w:val="center"/>
          </w:tcPr>
          <w:p w14:paraId="028460EF">
            <w:pPr>
              <w:jc w:val="center"/>
              <w:rPr>
                <w:rFonts w:hint="eastAsia" w:ascii="宋体" w:hAnsi="宋体" w:eastAsia="宋体" w:cs="宋体"/>
                <w:b/>
                <w:bCs/>
                <w:color w:val="000000"/>
                <w:sz w:val="18"/>
                <w:szCs w:val="18"/>
              </w:rPr>
            </w:pPr>
            <w:r>
              <w:rPr>
                <w:rFonts w:hint="eastAsia" w:ascii="宋体" w:hAnsi="宋体" w:eastAsia="宋体" w:cs="宋体"/>
                <w:b/>
                <w:bCs/>
                <w:color w:val="000000"/>
                <w:sz w:val="18"/>
                <w:szCs w:val="18"/>
              </w:rPr>
              <w:t>年度总体目标</w:t>
            </w:r>
          </w:p>
        </w:tc>
        <w:tc>
          <w:tcPr>
            <w:tcW w:w="4407" w:type="dxa"/>
            <w:gridSpan w:val="5"/>
            <w:tcBorders>
              <w:top w:val="single" w:color="auto" w:sz="4" w:space="0"/>
              <w:left w:val="nil"/>
              <w:bottom w:val="single" w:color="auto" w:sz="4" w:space="0"/>
              <w:right w:val="single" w:color="auto" w:sz="4" w:space="0"/>
            </w:tcBorders>
            <w:vAlign w:val="center"/>
          </w:tcPr>
          <w:p w14:paraId="2B877443">
            <w:pPr>
              <w:jc w:val="center"/>
              <w:rPr>
                <w:rFonts w:hint="eastAsia" w:ascii="宋体" w:hAnsi="宋体" w:eastAsia="宋体" w:cs="宋体"/>
                <w:b/>
                <w:bCs/>
                <w:color w:val="000000"/>
                <w:sz w:val="18"/>
                <w:szCs w:val="18"/>
              </w:rPr>
            </w:pPr>
            <w:r>
              <w:rPr>
                <w:rFonts w:hint="eastAsia" w:ascii="宋体" w:hAnsi="宋体" w:eastAsia="宋体" w:cs="宋体"/>
                <w:b/>
                <w:bCs/>
                <w:color w:val="000000"/>
                <w:sz w:val="18"/>
                <w:szCs w:val="18"/>
              </w:rPr>
              <w:t>预期目标</w:t>
            </w:r>
          </w:p>
        </w:tc>
        <w:tc>
          <w:tcPr>
            <w:tcW w:w="4677" w:type="dxa"/>
            <w:gridSpan w:val="7"/>
            <w:tcBorders>
              <w:top w:val="single" w:color="auto" w:sz="4" w:space="0"/>
              <w:left w:val="nil"/>
              <w:bottom w:val="single" w:color="auto" w:sz="4" w:space="0"/>
              <w:right w:val="single" w:color="auto" w:sz="4" w:space="0"/>
            </w:tcBorders>
            <w:vAlign w:val="center"/>
          </w:tcPr>
          <w:p w14:paraId="0683F41B">
            <w:pPr>
              <w:jc w:val="center"/>
              <w:rPr>
                <w:rFonts w:hint="eastAsia" w:ascii="宋体" w:hAnsi="宋体" w:eastAsia="宋体" w:cs="宋体"/>
                <w:b/>
                <w:bCs/>
                <w:color w:val="000000"/>
                <w:sz w:val="18"/>
                <w:szCs w:val="18"/>
              </w:rPr>
            </w:pPr>
            <w:r>
              <w:rPr>
                <w:rFonts w:hint="eastAsia" w:ascii="宋体" w:hAnsi="宋体" w:eastAsia="宋体" w:cs="宋体"/>
                <w:b/>
                <w:bCs/>
                <w:color w:val="000000"/>
                <w:sz w:val="18"/>
                <w:szCs w:val="18"/>
              </w:rPr>
              <w:t>实际完成情况</w:t>
            </w:r>
          </w:p>
        </w:tc>
      </w:tr>
      <w:tr w14:paraId="40B46AD1">
        <w:tblPrEx>
          <w:tblCellMar>
            <w:top w:w="0" w:type="dxa"/>
            <w:left w:w="108" w:type="dxa"/>
            <w:bottom w:w="0" w:type="dxa"/>
            <w:right w:w="108" w:type="dxa"/>
          </w:tblCellMar>
        </w:tblPrEx>
        <w:trPr>
          <w:cantSplit/>
          <w:trHeight w:val="703" w:hRule="atLeast"/>
        </w:trPr>
        <w:tc>
          <w:tcPr>
            <w:tcW w:w="598" w:type="dxa"/>
            <w:vMerge w:val="continue"/>
            <w:tcBorders>
              <w:top w:val="nil"/>
              <w:left w:val="single" w:color="auto" w:sz="4" w:space="0"/>
              <w:bottom w:val="single" w:color="auto" w:sz="4" w:space="0"/>
              <w:right w:val="single" w:color="auto" w:sz="4" w:space="0"/>
            </w:tcBorders>
            <w:vAlign w:val="center"/>
          </w:tcPr>
          <w:p w14:paraId="7F968C96">
            <w:pPr>
              <w:rPr>
                <w:rFonts w:hint="eastAsia" w:ascii="宋体" w:hAnsi="宋体" w:eastAsia="宋体" w:cs="宋体"/>
                <w:color w:val="000000"/>
                <w:sz w:val="18"/>
                <w:szCs w:val="18"/>
              </w:rPr>
            </w:pPr>
          </w:p>
        </w:tc>
        <w:tc>
          <w:tcPr>
            <w:tcW w:w="4407" w:type="dxa"/>
            <w:gridSpan w:val="5"/>
            <w:tcBorders>
              <w:top w:val="single" w:color="auto" w:sz="4" w:space="0"/>
              <w:left w:val="nil"/>
              <w:bottom w:val="single" w:color="auto" w:sz="4" w:space="0"/>
              <w:right w:val="single" w:color="000000" w:sz="4" w:space="0"/>
            </w:tcBorders>
          </w:tcPr>
          <w:p w14:paraId="4D9C5A97">
            <w:pPr>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1、提高交警队辅警权益，为辖区社会稳定做出保障，提高出警率。2、提高公众安全感。3、保障辅警人员后勤正常支出。</w:t>
            </w:r>
          </w:p>
        </w:tc>
        <w:tc>
          <w:tcPr>
            <w:tcW w:w="4677" w:type="dxa"/>
            <w:gridSpan w:val="7"/>
            <w:tcBorders>
              <w:top w:val="single" w:color="auto" w:sz="4" w:space="0"/>
              <w:left w:val="nil"/>
              <w:bottom w:val="single" w:color="auto" w:sz="4" w:space="0"/>
              <w:right w:val="single" w:color="000000" w:sz="4" w:space="0"/>
            </w:tcBorders>
          </w:tcPr>
          <w:p w14:paraId="024C35B1">
            <w:pPr>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截止2024年12月31日，已完成购置服装种类4类，购置执法装备种类2类。通过项目开展有效提高交警队辅警权益，为辖区社会稳定做出保障，提高出警率，并有效提高公众安全感，保障辅警人员后勤正常支出。</w:t>
            </w:r>
          </w:p>
        </w:tc>
      </w:tr>
      <w:tr w14:paraId="1F137AC6">
        <w:tblPrEx>
          <w:tblCellMar>
            <w:top w:w="0" w:type="dxa"/>
            <w:left w:w="108" w:type="dxa"/>
            <w:bottom w:w="0" w:type="dxa"/>
            <w:right w:w="108" w:type="dxa"/>
          </w:tblCellMar>
        </w:tblPrEx>
        <w:trPr>
          <w:cantSplit/>
          <w:trHeight w:val="543" w:hRule="atLeast"/>
        </w:trPr>
        <w:tc>
          <w:tcPr>
            <w:tcW w:w="598" w:type="dxa"/>
            <w:vMerge w:val="restart"/>
            <w:tcBorders>
              <w:top w:val="nil"/>
              <w:left w:val="single" w:color="auto" w:sz="4" w:space="0"/>
              <w:bottom w:val="single" w:color="auto" w:sz="4" w:space="0"/>
              <w:right w:val="single" w:color="auto" w:sz="4" w:space="0"/>
            </w:tcBorders>
            <w:vAlign w:val="center"/>
          </w:tcPr>
          <w:p w14:paraId="6472B183">
            <w:pPr>
              <w:jc w:val="center"/>
              <w:rPr>
                <w:rFonts w:hint="eastAsia" w:ascii="宋体" w:hAnsi="宋体" w:eastAsia="宋体" w:cs="宋体"/>
                <w:color w:val="000000"/>
                <w:sz w:val="18"/>
                <w:szCs w:val="18"/>
                <w:lang w:eastAsia="zh-CN"/>
              </w:rPr>
            </w:pPr>
          </w:p>
        </w:tc>
        <w:tc>
          <w:tcPr>
            <w:tcW w:w="707" w:type="dxa"/>
            <w:vMerge w:val="restart"/>
            <w:tcBorders>
              <w:top w:val="nil"/>
              <w:left w:val="single" w:color="auto" w:sz="4" w:space="0"/>
              <w:bottom w:val="single" w:color="auto" w:sz="4" w:space="0"/>
              <w:right w:val="single" w:color="auto" w:sz="4" w:space="0"/>
            </w:tcBorders>
            <w:vAlign w:val="center"/>
          </w:tcPr>
          <w:p w14:paraId="1F10DA6A">
            <w:pPr>
              <w:jc w:val="center"/>
              <w:rPr>
                <w:rFonts w:hint="eastAsia" w:ascii="宋体" w:hAnsi="宋体" w:eastAsia="宋体" w:cs="宋体"/>
                <w:b/>
                <w:bCs/>
                <w:color w:val="000000"/>
                <w:sz w:val="18"/>
                <w:szCs w:val="18"/>
              </w:rPr>
            </w:pPr>
            <w:r>
              <w:rPr>
                <w:rFonts w:hint="eastAsia" w:ascii="宋体" w:hAnsi="宋体" w:eastAsia="宋体" w:cs="宋体"/>
                <w:b/>
                <w:bCs/>
                <w:color w:val="000000"/>
                <w:sz w:val="18"/>
                <w:szCs w:val="18"/>
              </w:rPr>
              <w:t>一级指标</w:t>
            </w:r>
          </w:p>
        </w:tc>
        <w:tc>
          <w:tcPr>
            <w:tcW w:w="718" w:type="dxa"/>
            <w:vMerge w:val="restart"/>
            <w:tcBorders>
              <w:top w:val="nil"/>
              <w:left w:val="single" w:color="auto" w:sz="4" w:space="0"/>
              <w:bottom w:val="single" w:color="auto" w:sz="4" w:space="0"/>
              <w:right w:val="single" w:color="auto" w:sz="4" w:space="0"/>
            </w:tcBorders>
            <w:vAlign w:val="center"/>
          </w:tcPr>
          <w:p w14:paraId="6497D698">
            <w:pPr>
              <w:jc w:val="center"/>
              <w:rPr>
                <w:rFonts w:hint="eastAsia" w:ascii="宋体" w:hAnsi="宋体" w:eastAsia="宋体" w:cs="宋体"/>
                <w:b/>
                <w:bCs/>
                <w:color w:val="000000"/>
                <w:sz w:val="18"/>
                <w:szCs w:val="18"/>
              </w:rPr>
            </w:pPr>
            <w:r>
              <w:rPr>
                <w:rFonts w:hint="eastAsia" w:ascii="宋体" w:hAnsi="宋体" w:eastAsia="宋体" w:cs="宋体"/>
                <w:b/>
                <w:bCs/>
                <w:color w:val="000000"/>
                <w:sz w:val="18"/>
                <w:szCs w:val="18"/>
              </w:rPr>
              <w:t>二级指标</w:t>
            </w:r>
          </w:p>
        </w:tc>
        <w:tc>
          <w:tcPr>
            <w:tcW w:w="1857" w:type="dxa"/>
            <w:gridSpan w:val="2"/>
            <w:vMerge w:val="restart"/>
            <w:tcBorders>
              <w:top w:val="single" w:color="auto" w:sz="4" w:space="0"/>
              <w:left w:val="single" w:color="auto" w:sz="4" w:space="0"/>
              <w:bottom w:val="single" w:color="auto" w:sz="4" w:space="0"/>
              <w:right w:val="single" w:color="auto" w:sz="4" w:space="0"/>
            </w:tcBorders>
            <w:vAlign w:val="center"/>
          </w:tcPr>
          <w:p w14:paraId="30106700">
            <w:pPr>
              <w:jc w:val="center"/>
              <w:rPr>
                <w:rFonts w:hint="eastAsia" w:ascii="宋体" w:hAnsi="宋体" w:eastAsia="宋体" w:cs="宋体"/>
                <w:b/>
                <w:bCs/>
                <w:color w:val="000000"/>
                <w:sz w:val="18"/>
                <w:szCs w:val="18"/>
              </w:rPr>
            </w:pPr>
            <w:r>
              <w:rPr>
                <w:rFonts w:hint="eastAsia" w:ascii="宋体" w:hAnsi="宋体" w:eastAsia="宋体" w:cs="宋体"/>
                <w:b/>
                <w:bCs/>
                <w:color w:val="000000"/>
                <w:sz w:val="18"/>
                <w:szCs w:val="18"/>
              </w:rPr>
              <w:t>三级指标</w:t>
            </w:r>
          </w:p>
        </w:tc>
        <w:tc>
          <w:tcPr>
            <w:tcW w:w="1125" w:type="dxa"/>
            <w:vMerge w:val="restart"/>
            <w:tcBorders>
              <w:top w:val="nil"/>
              <w:left w:val="single" w:color="auto" w:sz="4" w:space="0"/>
              <w:bottom w:val="single" w:color="auto" w:sz="4" w:space="0"/>
              <w:right w:val="single" w:color="auto" w:sz="4" w:space="0"/>
            </w:tcBorders>
            <w:vAlign w:val="center"/>
          </w:tcPr>
          <w:p w14:paraId="004C466B">
            <w:pPr>
              <w:jc w:val="center"/>
              <w:rPr>
                <w:rFonts w:hint="eastAsia" w:ascii="宋体" w:hAnsi="宋体" w:eastAsia="宋体" w:cs="宋体"/>
                <w:b/>
                <w:bCs/>
                <w:color w:val="000000"/>
                <w:sz w:val="18"/>
                <w:szCs w:val="18"/>
              </w:rPr>
            </w:pPr>
            <w:r>
              <w:rPr>
                <w:rFonts w:hint="eastAsia" w:ascii="宋体" w:hAnsi="宋体" w:eastAsia="宋体" w:cs="宋体"/>
                <w:b/>
                <w:bCs/>
                <w:color w:val="000000"/>
                <w:sz w:val="18"/>
                <w:szCs w:val="18"/>
              </w:rPr>
              <w:t>年度指标值</w:t>
            </w:r>
          </w:p>
        </w:tc>
        <w:tc>
          <w:tcPr>
            <w:tcW w:w="1229" w:type="dxa"/>
            <w:vMerge w:val="restart"/>
            <w:tcBorders>
              <w:top w:val="nil"/>
              <w:left w:val="single" w:color="auto" w:sz="4" w:space="0"/>
              <w:bottom w:val="single" w:color="auto" w:sz="4" w:space="0"/>
              <w:right w:val="single" w:color="auto" w:sz="4" w:space="0"/>
            </w:tcBorders>
            <w:vAlign w:val="center"/>
          </w:tcPr>
          <w:p w14:paraId="09361B11">
            <w:pPr>
              <w:jc w:val="center"/>
              <w:rPr>
                <w:rFonts w:hint="eastAsia" w:ascii="宋体" w:hAnsi="宋体" w:eastAsia="宋体" w:cs="宋体"/>
                <w:b/>
                <w:bCs/>
                <w:color w:val="000000"/>
                <w:sz w:val="18"/>
                <w:szCs w:val="18"/>
              </w:rPr>
            </w:pPr>
            <w:r>
              <w:rPr>
                <w:rFonts w:hint="eastAsia" w:ascii="宋体" w:hAnsi="宋体" w:eastAsia="宋体" w:cs="宋体"/>
                <w:b/>
                <w:bCs/>
                <w:color w:val="000000"/>
                <w:sz w:val="18"/>
                <w:szCs w:val="18"/>
              </w:rPr>
              <w:t>实际完成值</w:t>
            </w:r>
          </w:p>
        </w:tc>
        <w:tc>
          <w:tcPr>
            <w:tcW w:w="755" w:type="dxa"/>
            <w:gridSpan w:val="2"/>
            <w:vMerge w:val="restart"/>
            <w:tcBorders>
              <w:top w:val="single" w:color="auto" w:sz="4" w:space="0"/>
              <w:left w:val="single" w:color="auto" w:sz="4" w:space="0"/>
              <w:bottom w:val="single" w:color="auto" w:sz="4" w:space="0"/>
              <w:right w:val="single" w:color="auto" w:sz="4" w:space="0"/>
            </w:tcBorders>
            <w:vAlign w:val="center"/>
          </w:tcPr>
          <w:p w14:paraId="7BB90462">
            <w:pPr>
              <w:jc w:val="center"/>
              <w:rPr>
                <w:rFonts w:hint="eastAsia" w:ascii="宋体" w:hAnsi="宋体" w:eastAsia="宋体" w:cs="宋体"/>
                <w:b/>
                <w:bCs/>
                <w:color w:val="000000"/>
                <w:sz w:val="18"/>
                <w:szCs w:val="18"/>
              </w:rPr>
            </w:pPr>
            <w:r>
              <w:rPr>
                <w:rFonts w:hint="eastAsia" w:ascii="宋体" w:hAnsi="宋体" w:eastAsia="宋体" w:cs="宋体"/>
                <w:b/>
                <w:bCs/>
                <w:color w:val="000000"/>
                <w:sz w:val="18"/>
                <w:szCs w:val="18"/>
              </w:rPr>
              <w:t>分值</w:t>
            </w:r>
          </w:p>
        </w:tc>
        <w:tc>
          <w:tcPr>
            <w:tcW w:w="709" w:type="dxa"/>
            <w:gridSpan w:val="2"/>
            <w:vMerge w:val="restart"/>
            <w:tcBorders>
              <w:top w:val="single" w:color="auto" w:sz="4" w:space="0"/>
              <w:left w:val="single" w:color="auto" w:sz="4" w:space="0"/>
              <w:bottom w:val="single" w:color="auto" w:sz="4" w:space="0"/>
              <w:right w:val="single" w:color="auto" w:sz="4" w:space="0"/>
            </w:tcBorders>
            <w:vAlign w:val="center"/>
          </w:tcPr>
          <w:p w14:paraId="03EA2E70">
            <w:pPr>
              <w:jc w:val="center"/>
              <w:rPr>
                <w:rFonts w:hint="eastAsia" w:ascii="宋体" w:hAnsi="宋体" w:eastAsia="宋体" w:cs="宋体"/>
                <w:b/>
                <w:bCs/>
                <w:color w:val="000000"/>
                <w:sz w:val="18"/>
                <w:szCs w:val="18"/>
              </w:rPr>
            </w:pPr>
            <w:r>
              <w:rPr>
                <w:rFonts w:hint="eastAsia" w:ascii="宋体" w:hAnsi="宋体" w:eastAsia="宋体" w:cs="宋体"/>
                <w:b/>
                <w:bCs/>
                <w:color w:val="000000"/>
                <w:sz w:val="18"/>
                <w:szCs w:val="18"/>
              </w:rPr>
              <w:t>得分</w:t>
            </w:r>
          </w:p>
        </w:tc>
        <w:tc>
          <w:tcPr>
            <w:tcW w:w="1984" w:type="dxa"/>
            <w:gridSpan w:val="2"/>
            <w:vMerge w:val="restart"/>
            <w:tcBorders>
              <w:top w:val="single" w:color="auto" w:sz="4" w:space="0"/>
              <w:left w:val="single" w:color="auto" w:sz="4" w:space="0"/>
              <w:bottom w:val="single" w:color="auto" w:sz="4" w:space="0"/>
              <w:right w:val="single" w:color="auto" w:sz="4" w:space="0"/>
            </w:tcBorders>
            <w:vAlign w:val="center"/>
          </w:tcPr>
          <w:p w14:paraId="4A043935">
            <w:pPr>
              <w:jc w:val="center"/>
              <w:rPr>
                <w:rFonts w:hint="eastAsia" w:ascii="宋体" w:hAnsi="宋体" w:eastAsia="宋体" w:cs="宋体"/>
                <w:b/>
                <w:bCs/>
                <w:color w:val="000000"/>
                <w:sz w:val="18"/>
                <w:szCs w:val="18"/>
                <w:lang w:eastAsia="zh-CN"/>
              </w:rPr>
            </w:pPr>
            <w:r>
              <w:rPr>
                <w:rFonts w:hint="eastAsia" w:ascii="宋体" w:hAnsi="宋体" w:eastAsia="宋体" w:cs="宋体"/>
                <w:b/>
                <w:bCs/>
                <w:color w:val="000000"/>
                <w:sz w:val="18"/>
                <w:szCs w:val="18"/>
                <w:lang w:eastAsia="zh-CN"/>
              </w:rPr>
              <w:t>偏差原因分析及改进措施</w:t>
            </w:r>
          </w:p>
        </w:tc>
      </w:tr>
      <w:tr w14:paraId="753BED3E">
        <w:tblPrEx>
          <w:tblCellMar>
            <w:top w:w="0" w:type="dxa"/>
            <w:left w:w="108" w:type="dxa"/>
            <w:bottom w:w="0" w:type="dxa"/>
            <w:right w:w="108" w:type="dxa"/>
          </w:tblCellMar>
        </w:tblPrEx>
        <w:trPr>
          <w:cantSplit/>
          <w:trHeight w:val="543" w:hRule="atLeast"/>
        </w:trPr>
        <w:tc>
          <w:tcPr>
            <w:tcW w:w="598" w:type="dxa"/>
            <w:vMerge w:val="continue"/>
            <w:tcBorders>
              <w:top w:val="nil"/>
              <w:left w:val="single" w:color="auto" w:sz="4" w:space="0"/>
              <w:bottom w:val="single" w:color="auto" w:sz="4" w:space="0"/>
              <w:right w:val="single" w:color="auto" w:sz="4" w:space="0"/>
            </w:tcBorders>
            <w:vAlign w:val="center"/>
          </w:tcPr>
          <w:p w14:paraId="4959D393">
            <w:pPr>
              <w:rPr>
                <w:rFonts w:hint="eastAsia" w:ascii="宋体" w:hAnsi="宋体" w:eastAsia="宋体" w:cs="宋体"/>
                <w:color w:val="000000"/>
                <w:sz w:val="18"/>
                <w:szCs w:val="18"/>
                <w:lang w:eastAsia="zh-CN"/>
              </w:rPr>
            </w:pPr>
          </w:p>
        </w:tc>
        <w:tc>
          <w:tcPr>
            <w:tcW w:w="707" w:type="dxa"/>
            <w:vMerge w:val="continue"/>
            <w:tcBorders>
              <w:top w:val="nil"/>
              <w:left w:val="single" w:color="auto" w:sz="4" w:space="0"/>
              <w:bottom w:val="single" w:color="auto" w:sz="4" w:space="0"/>
              <w:right w:val="single" w:color="auto" w:sz="4" w:space="0"/>
            </w:tcBorders>
            <w:vAlign w:val="center"/>
          </w:tcPr>
          <w:p w14:paraId="1616797C">
            <w:pPr>
              <w:rPr>
                <w:rFonts w:hint="eastAsia" w:ascii="宋体" w:hAnsi="宋体" w:eastAsia="宋体" w:cs="宋体"/>
                <w:color w:val="000000"/>
                <w:sz w:val="18"/>
                <w:szCs w:val="18"/>
                <w:lang w:eastAsia="zh-CN"/>
              </w:rPr>
            </w:pPr>
          </w:p>
        </w:tc>
        <w:tc>
          <w:tcPr>
            <w:tcW w:w="718" w:type="dxa"/>
            <w:vMerge w:val="continue"/>
            <w:tcBorders>
              <w:top w:val="nil"/>
              <w:left w:val="single" w:color="auto" w:sz="4" w:space="0"/>
              <w:bottom w:val="single" w:color="auto" w:sz="4" w:space="0"/>
              <w:right w:val="single" w:color="auto" w:sz="4" w:space="0"/>
            </w:tcBorders>
            <w:vAlign w:val="center"/>
          </w:tcPr>
          <w:p w14:paraId="773F3DAB">
            <w:pPr>
              <w:rPr>
                <w:rFonts w:hint="eastAsia" w:ascii="宋体" w:hAnsi="宋体" w:eastAsia="宋体" w:cs="宋体"/>
                <w:color w:val="000000"/>
                <w:sz w:val="18"/>
                <w:szCs w:val="18"/>
                <w:lang w:eastAsia="zh-CN"/>
              </w:rPr>
            </w:pPr>
          </w:p>
        </w:tc>
        <w:tc>
          <w:tcPr>
            <w:tcW w:w="1857" w:type="dxa"/>
            <w:gridSpan w:val="2"/>
            <w:vMerge w:val="continue"/>
            <w:tcBorders>
              <w:top w:val="single" w:color="auto" w:sz="4" w:space="0"/>
              <w:left w:val="single" w:color="auto" w:sz="4" w:space="0"/>
              <w:bottom w:val="single" w:color="auto" w:sz="4" w:space="0"/>
              <w:right w:val="single" w:color="auto" w:sz="4" w:space="0"/>
            </w:tcBorders>
            <w:vAlign w:val="center"/>
          </w:tcPr>
          <w:p w14:paraId="502DCF18">
            <w:pPr>
              <w:rPr>
                <w:rFonts w:hint="eastAsia" w:ascii="宋体" w:hAnsi="宋体" w:eastAsia="宋体" w:cs="宋体"/>
                <w:color w:val="000000"/>
                <w:sz w:val="18"/>
                <w:szCs w:val="18"/>
                <w:lang w:eastAsia="zh-CN"/>
              </w:rPr>
            </w:pPr>
          </w:p>
        </w:tc>
        <w:tc>
          <w:tcPr>
            <w:tcW w:w="1125" w:type="dxa"/>
            <w:vMerge w:val="continue"/>
            <w:tcBorders>
              <w:top w:val="nil"/>
              <w:left w:val="single" w:color="auto" w:sz="4" w:space="0"/>
              <w:bottom w:val="single" w:color="auto" w:sz="4" w:space="0"/>
              <w:right w:val="single" w:color="auto" w:sz="4" w:space="0"/>
            </w:tcBorders>
            <w:vAlign w:val="center"/>
          </w:tcPr>
          <w:p w14:paraId="086E9CDF">
            <w:pPr>
              <w:rPr>
                <w:rFonts w:hint="eastAsia" w:ascii="宋体" w:hAnsi="宋体" w:eastAsia="宋体" w:cs="宋体"/>
                <w:color w:val="000000"/>
                <w:sz w:val="18"/>
                <w:szCs w:val="18"/>
                <w:lang w:eastAsia="zh-CN"/>
              </w:rPr>
            </w:pPr>
          </w:p>
        </w:tc>
        <w:tc>
          <w:tcPr>
            <w:tcW w:w="1229" w:type="dxa"/>
            <w:vMerge w:val="continue"/>
            <w:tcBorders>
              <w:top w:val="nil"/>
              <w:left w:val="single" w:color="auto" w:sz="4" w:space="0"/>
              <w:bottom w:val="single" w:color="auto" w:sz="4" w:space="0"/>
              <w:right w:val="single" w:color="auto" w:sz="4" w:space="0"/>
            </w:tcBorders>
            <w:vAlign w:val="center"/>
          </w:tcPr>
          <w:p w14:paraId="1684BFA0">
            <w:pPr>
              <w:rPr>
                <w:rFonts w:hint="eastAsia" w:ascii="宋体" w:hAnsi="宋体" w:eastAsia="宋体" w:cs="宋体"/>
                <w:color w:val="000000"/>
                <w:sz w:val="18"/>
                <w:szCs w:val="18"/>
                <w:lang w:eastAsia="zh-CN"/>
              </w:rPr>
            </w:pPr>
          </w:p>
        </w:tc>
        <w:tc>
          <w:tcPr>
            <w:tcW w:w="755" w:type="dxa"/>
            <w:gridSpan w:val="2"/>
            <w:vMerge w:val="continue"/>
            <w:tcBorders>
              <w:top w:val="single" w:color="auto" w:sz="4" w:space="0"/>
              <w:left w:val="single" w:color="auto" w:sz="4" w:space="0"/>
              <w:bottom w:val="single" w:color="auto" w:sz="4" w:space="0"/>
              <w:right w:val="single" w:color="auto" w:sz="4" w:space="0"/>
            </w:tcBorders>
            <w:vAlign w:val="center"/>
          </w:tcPr>
          <w:p w14:paraId="7DB821D5">
            <w:pPr>
              <w:rPr>
                <w:rFonts w:hint="eastAsia" w:ascii="宋体" w:hAnsi="宋体" w:eastAsia="宋体" w:cs="宋体"/>
                <w:color w:val="000000"/>
                <w:sz w:val="18"/>
                <w:szCs w:val="18"/>
                <w:lang w:eastAsia="zh-CN"/>
              </w:rPr>
            </w:pPr>
          </w:p>
        </w:tc>
        <w:tc>
          <w:tcPr>
            <w:tcW w:w="709" w:type="dxa"/>
            <w:gridSpan w:val="2"/>
            <w:vMerge w:val="continue"/>
            <w:tcBorders>
              <w:top w:val="single" w:color="auto" w:sz="4" w:space="0"/>
              <w:left w:val="single" w:color="auto" w:sz="4" w:space="0"/>
              <w:bottom w:val="single" w:color="auto" w:sz="4" w:space="0"/>
              <w:right w:val="single" w:color="auto" w:sz="4" w:space="0"/>
            </w:tcBorders>
            <w:vAlign w:val="center"/>
          </w:tcPr>
          <w:p w14:paraId="1BF6D7E0">
            <w:pPr>
              <w:rPr>
                <w:rFonts w:hint="eastAsia" w:ascii="宋体" w:hAnsi="宋体" w:eastAsia="宋体" w:cs="宋体"/>
                <w:color w:val="000000"/>
                <w:sz w:val="18"/>
                <w:szCs w:val="18"/>
                <w:lang w:eastAsia="zh-CN"/>
              </w:rPr>
            </w:pPr>
          </w:p>
        </w:tc>
        <w:tc>
          <w:tcPr>
            <w:tcW w:w="1984" w:type="dxa"/>
            <w:gridSpan w:val="2"/>
            <w:vMerge w:val="continue"/>
            <w:tcBorders>
              <w:top w:val="single" w:color="auto" w:sz="4" w:space="0"/>
              <w:left w:val="single" w:color="auto" w:sz="4" w:space="0"/>
              <w:bottom w:val="single" w:color="auto" w:sz="4" w:space="0"/>
              <w:right w:val="single" w:color="auto" w:sz="4" w:space="0"/>
            </w:tcBorders>
            <w:vAlign w:val="center"/>
          </w:tcPr>
          <w:p w14:paraId="67C46AA3">
            <w:pPr>
              <w:rPr>
                <w:rFonts w:hint="eastAsia" w:ascii="宋体" w:hAnsi="宋体" w:eastAsia="宋体" w:cs="宋体"/>
                <w:color w:val="000000"/>
                <w:sz w:val="18"/>
                <w:szCs w:val="18"/>
                <w:lang w:eastAsia="zh-CN"/>
              </w:rPr>
            </w:pPr>
          </w:p>
        </w:tc>
      </w:tr>
      <w:tr w14:paraId="6AF5223F">
        <w:tblPrEx>
          <w:tblCellMar>
            <w:top w:w="0" w:type="dxa"/>
            <w:left w:w="108" w:type="dxa"/>
            <w:bottom w:w="0" w:type="dxa"/>
            <w:right w:w="108" w:type="dxa"/>
          </w:tblCellMar>
        </w:tblPrEx>
        <w:trPr>
          <w:cantSplit/>
          <w:trHeight w:val="600" w:hRule="atLeast"/>
        </w:trPr>
        <w:tc>
          <w:tcPr>
            <w:tcW w:w="598" w:type="dxa"/>
            <w:vMerge w:val="restart"/>
            <w:tcBorders>
              <w:top w:val="nil"/>
              <w:left w:val="single" w:color="auto" w:sz="4" w:space="0"/>
              <w:bottom w:val="single" w:color="auto" w:sz="4" w:space="0"/>
              <w:right w:val="single" w:color="auto" w:sz="4" w:space="0"/>
            </w:tcBorders>
            <w:vAlign w:val="center"/>
          </w:tcPr>
          <w:p w14:paraId="1709514C">
            <w:pPr>
              <w:jc w:val="center"/>
              <w:rPr>
                <w:rFonts w:hint="eastAsia" w:ascii="宋体" w:hAnsi="宋体" w:eastAsia="宋体" w:cs="宋体"/>
                <w:b/>
                <w:bCs/>
                <w:color w:val="000000"/>
                <w:sz w:val="18"/>
                <w:szCs w:val="18"/>
                <w:lang w:eastAsia="zh-CN"/>
              </w:rPr>
            </w:pPr>
            <w:r>
              <w:rPr>
                <w:rFonts w:hint="eastAsia" w:ascii="宋体" w:hAnsi="宋体" w:eastAsia="宋体" w:cs="宋体"/>
                <w:b/>
                <w:bCs/>
                <w:color w:val="000000"/>
                <w:sz w:val="18"/>
                <w:szCs w:val="18"/>
                <w:lang w:eastAsia="zh-CN"/>
              </w:rPr>
              <w:t>年度绩效指标完成情况</w:t>
            </w:r>
          </w:p>
        </w:tc>
        <w:tc>
          <w:tcPr>
            <w:tcW w:w="707" w:type="dxa"/>
            <w:vMerge w:val="restart"/>
            <w:tcBorders>
              <w:top w:val="nil"/>
              <w:left w:val="nil"/>
              <w:right w:val="single" w:color="auto" w:sz="4" w:space="0"/>
            </w:tcBorders>
            <w:vAlign w:val="center"/>
          </w:tcPr>
          <w:p w14:paraId="5B808821">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产出指标</w:t>
            </w:r>
          </w:p>
        </w:tc>
        <w:tc>
          <w:tcPr>
            <w:tcW w:w="718" w:type="dxa"/>
            <w:vMerge w:val="restart"/>
            <w:tcBorders>
              <w:top w:val="nil"/>
              <w:left w:val="nil"/>
              <w:right w:val="single" w:color="auto" w:sz="4" w:space="0"/>
            </w:tcBorders>
            <w:vAlign w:val="center"/>
          </w:tcPr>
          <w:p w14:paraId="6CF34AAE">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数量指标</w:t>
            </w:r>
          </w:p>
        </w:tc>
        <w:tc>
          <w:tcPr>
            <w:tcW w:w="1857" w:type="dxa"/>
            <w:gridSpan w:val="2"/>
            <w:tcBorders>
              <w:top w:val="single" w:color="auto" w:sz="4" w:space="0"/>
              <w:left w:val="nil"/>
              <w:bottom w:val="single" w:color="auto" w:sz="4" w:space="0"/>
              <w:right w:val="single" w:color="000000" w:sz="4" w:space="0"/>
            </w:tcBorders>
            <w:noWrap/>
            <w:vAlign w:val="center"/>
          </w:tcPr>
          <w:p w14:paraId="4C84D63E">
            <w:pPr>
              <w:rPr>
                <w:rFonts w:hint="eastAsia" w:ascii="宋体" w:hAnsi="宋体" w:eastAsia="宋体" w:cs="宋体"/>
                <w:color w:val="000000"/>
                <w:sz w:val="18"/>
                <w:szCs w:val="18"/>
              </w:rPr>
            </w:pPr>
            <w:r>
              <w:rPr>
                <w:rFonts w:hint="eastAsia" w:ascii="宋体" w:hAnsi="宋体" w:eastAsia="宋体" w:cs="宋体"/>
                <w:color w:val="000000"/>
                <w:sz w:val="18"/>
                <w:szCs w:val="18"/>
              </w:rPr>
              <w:t>购置服装的数量</w:t>
            </w:r>
          </w:p>
        </w:tc>
        <w:tc>
          <w:tcPr>
            <w:tcW w:w="1125" w:type="dxa"/>
            <w:tcBorders>
              <w:top w:val="nil"/>
              <w:left w:val="nil"/>
              <w:bottom w:val="single" w:color="auto" w:sz="4" w:space="0"/>
              <w:right w:val="single" w:color="auto" w:sz="4" w:space="0"/>
            </w:tcBorders>
            <w:vAlign w:val="center"/>
          </w:tcPr>
          <w:p w14:paraId="1F1BEB0E">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&gt;=6类</w:t>
            </w:r>
          </w:p>
        </w:tc>
        <w:tc>
          <w:tcPr>
            <w:tcW w:w="1229" w:type="dxa"/>
            <w:tcBorders>
              <w:top w:val="nil"/>
              <w:left w:val="nil"/>
              <w:bottom w:val="single" w:color="auto" w:sz="4" w:space="0"/>
              <w:right w:val="single" w:color="auto" w:sz="4" w:space="0"/>
            </w:tcBorders>
            <w:vAlign w:val="center"/>
          </w:tcPr>
          <w:p w14:paraId="0D154C75">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=4类</w:t>
            </w:r>
          </w:p>
        </w:tc>
        <w:tc>
          <w:tcPr>
            <w:tcW w:w="755" w:type="dxa"/>
            <w:gridSpan w:val="2"/>
            <w:tcBorders>
              <w:top w:val="single" w:color="auto" w:sz="4" w:space="0"/>
              <w:left w:val="nil"/>
              <w:bottom w:val="single" w:color="auto" w:sz="4" w:space="0"/>
              <w:right w:val="single" w:color="000000" w:sz="4" w:space="0"/>
            </w:tcBorders>
            <w:vAlign w:val="center"/>
          </w:tcPr>
          <w:p w14:paraId="0522EC37">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5</w:t>
            </w:r>
          </w:p>
        </w:tc>
        <w:tc>
          <w:tcPr>
            <w:tcW w:w="709" w:type="dxa"/>
            <w:gridSpan w:val="2"/>
            <w:tcBorders>
              <w:top w:val="single" w:color="auto" w:sz="4" w:space="0"/>
              <w:left w:val="nil"/>
              <w:bottom w:val="single" w:color="auto" w:sz="4" w:space="0"/>
              <w:right w:val="single" w:color="000000" w:sz="4" w:space="0"/>
            </w:tcBorders>
            <w:vAlign w:val="center"/>
          </w:tcPr>
          <w:p w14:paraId="27CCA6F0">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3.33</w:t>
            </w:r>
          </w:p>
        </w:tc>
        <w:tc>
          <w:tcPr>
            <w:tcW w:w="1984" w:type="dxa"/>
            <w:gridSpan w:val="2"/>
            <w:tcBorders>
              <w:top w:val="single" w:color="auto" w:sz="4" w:space="0"/>
              <w:left w:val="nil"/>
              <w:bottom w:val="single" w:color="auto" w:sz="4" w:space="0"/>
              <w:right w:val="single" w:color="auto" w:sz="4" w:space="0"/>
            </w:tcBorders>
            <w:vAlign w:val="center"/>
          </w:tcPr>
          <w:p w14:paraId="712D1E6D">
            <w:pPr>
              <w:jc w:val="center"/>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实际购置服装的数量为4类</w:t>
            </w:r>
          </w:p>
        </w:tc>
      </w:tr>
      <w:tr w14:paraId="14F02C5B">
        <w:tblPrEx>
          <w:tblCellMar>
            <w:top w:w="0" w:type="dxa"/>
            <w:left w:w="108" w:type="dxa"/>
            <w:bottom w:w="0" w:type="dxa"/>
            <w:right w:w="108" w:type="dxa"/>
          </w:tblCellMar>
        </w:tblPrEx>
        <w:trPr>
          <w:cantSplit/>
          <w:trHeight w:val="600" w:hRule="atLeast"/>
        </w:trPr>
        <w:tc>
          <w:tcPr>
            <w:tcW w:w="598" w:type="dxa"/>
            <w:vMerge w:val="continue"/>
            <w:tcBorders>
              <w:top w:val="nil"/>
              <w:left w:val="single" w:color="auto" w:sz="4" w:space="0"/>
              <w:bottom w:val="single" w:color="auto" w:sz="4" w:space="0"/>
              <w:right w:val="single" w:color="auto" w:sz="4" w:space="0"/>
            </w:tcBorders>
            <w:vAlign w:val="center"/>
          </w:tcPr>
          <w:p w14:paraId="592FC565">
            <w:pPr>
              <w:rPr>
                <w:rFonts w:hint="eastAsia" w:ascii="宋体" w:hAnsi="宋体" w:eastAsia="宋体" w:cs="宋体"/>
                <w:color w:val="000000"/>
                <w:sz w:val="18"/>
                <w:szCs w:val="18"/>
                <w:lang w:eastAsia="zh-CN"/>
              </w:rPr>
            </w:pPr>
          </w:p>
        </w:tc>
        <w:tc>
          <w:tcPr>
            <w:tcW w:w="707" w:type="dxa"/>
            <w:vMerge w:val="continue"/>
            <w:tcBorders>
              <w:left w:val="nil"/>
              <w:right w:val="single" w:color="auto" w:sz="4" w:space="0"/>
            </w:tcBorders>
            <w:vAlign w:val="center"/>
          </w:tcPr>
          <w:p w14:paraId="18B48CEF">
            <w:pPr>
              <w:jc w:val="center"/>
              <w:rPr>
                <w:rFonts w:hint="eastAsia" w:ascii="宋体" w:hAnsi="宋体" w:eastAsia="宋体" w:cs="宋体"/>
                <w:color w:val="000000"/>
                <w:sz w:val="18"/>
                <w:szCs w:val="18"/>
                <w:lang w:eastAsia="zh-CN"/>
              </w:rPr>
            </w:pPr>
          </w:p>
        </w:tc>
        <w:tc>
          <w:tcPr>
            <w:tcW w:w="718" w:type="dxa"/>
            <w:vMerge w:val="continue"/>
            <w:tcBorders>
              <w:left w:val="nil"/>
              <w:bottom w:val="single" w:color="auto" w:sz="4" w:space="0"/>
              <w:right w:val="single" w:color="auto" w:sz="4" w:space="0"/>
            </w:tcBorders>
            <w:vAlign w:val="center"/>
          </w:tcPr>
          <w:p w14:paraId="618F6D1C">
            <w:pPr>
              <w:jc w:val="center"/>
              <w:rPr>
                <w:rFonts w:hint="eastAsia" w:ascii="宋体" w:hAnsi="宋体" w:eastAsia="宋体" w:cs="宋体"/>
                <w:color w:val="000000"/>
                <w:sz w:val="18"/>
                <w:szCs w:val="18"/>
                <w:lang w:eastAsia="zh-CN"/>
              </w:rPr>
            </w:pPr>
          </w:p>
        </w:tc>
        <w:tc>
          <w:tcPr>
            <w:tcW w:w="1857" w:type="dxa"/>
            <w:gridSpan w:val="2"/>
            <w:tcBorders>
              <w:top w:val="single" w:color="auto" w:sz="4" w:space="0"/>
              <w:left w:val="nil"/>
              <w:bottom w:val="single" w:color="auto" w:sz="4" w:space="0"/>
              <w:right w:val="single" w:color="000000" w:sz="4" w:space="0"/>
            </w:tcBorders>
            <w:noWrap/>
            <w:vAlign w:val="center"/>
          </w:tcPr>
          <w:p w14:paraId="5659C587">
            <w:pPr>
              <w:rPr>
                <w:rFonts w:hint="eastAsia" w:ascii="宋体" w:hAnsi="宋体" w:eastAsia="宋体" w:cs="宋体"/>
                <w:color w:val="000000"/>
                <w:sz w:val="18"/>
                <w:szCs w:val="18"/>
              </w:rPr>
            </w:pPr>
            <w:r>
              <w:rPr>
                <w:rFonts w:hint="eastAsia" w:ascii="宋体" w:hAnsi="宋体" w:eastAsia="宋体" w:cs="宋体"/>
                <w:color w:val="000000"/>
                <w:sz w:val="18"/>
                <w:szCs w:val="18"/>
              </w:rPr>
              <w:t>执法装备购置数量</w:t>
            </w:r>
          </w:p>
        </w:tc>
        <w:tc>
          <w:tcPr>
            <w:tcW w:w="1125" w:type="dxa"/>
            <w:tcBorders>
              <w:top w:val="nil"/>
              <w:left w:val="nil"/>
              <w:bottom w:val="single" w:color="auto" w:sz="4" w:space="0"/>
              <w:right w:val="single" w:color="auto" w:sz="4" w:space="0"/>
            </w:tcBorders>
            <w:vAlign w:val="center"/>
          </w:tcPr>
          <w:p w14:paraId="4CFBBDA2">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&gt;=2类</w:t>
            </w:r>
          </w:p>
        </w:tc>
        <w:tc>
          <w:tcPr>
            <w:tcW w:w="1229" w:type="dxa"/>
            <w:tcBorders>
              <w:top w:val="nil"/>
              <w:left w:val="nil"/>
              <w:bottom w:val="single" w:color="auto" w:sz="4" w:space="0"/>
              <w:right w:val="single" w:color="auto" w:sz="4" w:space="0"/>
            </w:tcBorders>
            <w:vAlign w:val="center"/>
          </w:tcPr>
          <w:p w14:paraId="70A6D7C6">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=2类</w:t>
            </w:r>
          </w:p>
        </w:tc>
        <w:tc>
          <w:tcPr>
            <w:tcW w:w="755" w:type="dxa"/>
            <w:gridSpan w:val="2"/>
            <w:tcBorders>
              <w:top w:val="single" w:color="auto" w:sz="4" w:space="0"/>
              <w:left w:val="nil"/>
              <w:bottom w:val="single" w:color="auto" w:sz="4" w:space="0"/>
              <w:right w:val="single" w:color="000000" w:sz="4" w:space="0"/>
            </w:tcBorders>
            <w:vAlign w:val="center"/>
          </w:tcPr>
          <w:p w14:paraId="4BB0C4A9">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5</w:t>
            </w:r>
          </w:p>
        </w:tc>
        <w:tc>
          <w:tcPr>
            <w:tcW w:w="709" w:type="dxa"/>
            <w:gridSpan w:val="2"/>
            <w:tcBorders>
              <w:top w:val="single" w:color="auto" w:sz="4" w:space="0"/>
              <w:left w:val="nil"/>
              <w:bottom w:val="single" w:color="auto" w:sz="4" w:space="0"/>
              <w:right w:val="single" w:color="000000" w:sz="4" w:space="0"/>
            </w:tcBorders>
            <w:vAlign w:val="center"/>
          </w:tcPr>
          <w:p w14:paraId="57755971">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5</w:t>
            </w:r>
          </w:p>
        </w:tc>
        <w:tc>
          <w:tcPr>
            <w:tcW w:w="1984" w:type="dxa"/>
            <w:gridSpan w:val="2"/>
            <w:tcBorders>
              <w:top w:val="single" w:color="auto" w:sz="4" w:space="0"/>
              <w:left w:val="nil"/>
              <w:bottom w:val="single" w:color="auto" w:sz="4" w:space="0"/>
              <w:right w:val="single" w:color="auto" w:sz="4" w:space="0"/>
            </w:tcBorders>
            <w:vAlign w:val="center"/>
          </w:tcPr>
          <w:p w14:paraId="4BF519EB">
            <w:pPr>
              <w:jc w:val="center"/>
              <w:rPr>
                <w:rFonts w:hint="eastAsia" w:ascii="宋体" w:hAnsi="宋体" w:eastAsia="宋体" w:cs="宋体"/>
                <w:color w:val="000000"/>
                <w:sz w:val="18"/>
                <w:szCs w:val="18"/>
              </w:rPr>
            </w:pPr>
          </w:p>
        </w:tc>
      </w:tr>
      <w:tr w14:paraId="06CDCB32">
        <w:tblPrEx>
          <w:tblCellMar>
            <w:top w:w="0" w:type="dxa"/>
            <w:left w:w="108" w:type="dxa"/>
            <w:bottom w:w="0" w:type="dxa"/>
            <w:right w:w="108" w:type="dxa"/>
          </w:tblCellMar>
        </w:tblPrEx>
        <w:trPr>
          <w:cantSplit/>
          <w:trHeight w:val="600" w:hRule="atLeast"/>
        </w:trPr>
        <w:tc>
          <w:tcPr>
            <w:tcW w:w="598" w:type="dxa"/>
            <w:vMerge w:val="continue"/>
            <w:tcBorders>
              <w:top w:val="nil"/>
              <w:left w:val="single" w:color="auto" w:sz="4" w:space="0"/>
              <w:bottom w:val="single" w:color="auto" w:sz="4" w:space="0"/>
              <w:right w:val="single" w:color="auto" w:sz="4" w:space="0"/>
            </w:tcBorders>
            <w:vAlign w:val="center"/>
          </w:tcPr>
          <w:p w14:paraId="5CE26CAF">
            <w:pPr>
              <w:rPr>
                <w:rFonts w:hint="eastAsia" w:ascii="宋体" w:hAnsi="宋体" w:eastAsia="宋体" w:cs="宋体"/>
                <w:color w:val="000000"/>
                <w:sz w:val="18"/>
                <w:szCs w:val="18"/>
              </w:rPr>
            </w:pPr>
          </w:p>
        </w:tc>
        <w:tc>
          <w:tcPr>
            <w:tcW w:w="707" w:type="dxa"/>
            <w:vMerge w:val="continue"/>
            <w:tcBorders>
              <w:left w:val="nil"/>
              <w:right w:val="single" w:color="auto" w:sz="4" w:space="0"/>
            </w:tcBorders>
            <w:vAlign w:val="center"/>
          </w:tcPr>
          <w:p w14:paraId="7570564E">
            <w:pPr>
              <w:jc w:val="center"/>
              <w:rPr>
                <w:rFonts w:hint="eastAsia" w:ascii="宋体" w:hAnsi="宋体" w:eastAsia="宋体" w:cs="宋体"/>
                <w:color w:val="000000"/>
                <w:sz w:val="18"/>
                <w:szCs w:val="18"/>
              </w:rPr>
            </w:pPr>
          </w:p>
        </w:tc>
        <w:tc>
          <w:tcPr>
            <w:tcW w:w="718" w:type="dxa"/>
            <w:vMerge w:val="restart"/>
            <w:tcBorders>
              <w:top w:val="nil"/>
              <w:left w:val="nil"/>
              <w:right w:val="single" w:color="auto" w:sz="4" w:space="0"/>
            </w:tcBorders>
            <w:vAlign w:val="center"/>
          </w:tcPr>
          <w:p w14:paraId="71ABDB47">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质量指标</w:t>
            </w:r>
          </w:p>
        </w:tc>
        <w:tc>
          <w:tcPr>
            <w:tcW w:w="1857" w:type="dxa"/>
            <w:gridSpan w:val="2"/>
            <w:tcBorders>
              <w:top w:val="single" w:color="auto" w:sz="4" w:space="0"/>
              <w:left w:val="nil"/>
              <w:bottom w:val="single" w:color="auto" w:sz="4" w:space="0"/>
              <w:right w:val="single" w:color="000000" w:sz="4" w:space="0"/>
            </w:tcBorders>
            <w:noWrap/>
            <w:vAlign w:val="center"/>
          </w:tcPr>
          <w:p w14:paraId="69083730">
            <w:pPr>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购置装备质量合格率（%）</w:t>
            </w:r>
          </w:p>
        </w:tc>
        <w:tc>
          <w:tcPr>
            <w:tcW w:w="1125" w:type="dxa"/>
            <w:tcBorders>
              <w:top w:val="nil"/>
              <w:left w:val="nil"/>
              <w:bottom w:val="single" w:color="auto" w:sz="4" w:space="0"/>
              <w:right w:val="single" w:color="auto" w:sz="4" w:space="0"/>
            </w:tcBorders>
            <w:vAlign w:val="center"/>
          </w:tcPr>
          <w:p w14:paraId="7B3A2B23">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=100%</w:t>
            </w:r>
          </w:p>
        </w:tc>
        <w:tc>
          <w:tcPr>
            <w:tcW w:w="1229" w:type="dxa"/>
            <w:tcBorders>
              <w:top w:val="nil"/>
              <w:left w:val="nil"/>
              <w:bottom w:val="single" w:color="auto" w:sz="4" w:space="0"/>
              <w:right w:val="single" w:color="auto" w:sz="4" w:space="0"/>
            </w:tcBorders>
            <w:vAlign w:val="center"/>
          </w:tcPr>
          <w:p w14:paraId="0195E3D7">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=100%</w:t>
            </w:r>
          </w:p>
        </w:tc>
        <w:tc>
          <w:tcPr>
            <w:tcW w:w="755" w:type="dxa"/>
            <w:gridSpan w:val="2"/>
            <w:tcBorders>
              <w:top w:val="single" w:color="auto" w:sz="4" w:space="0"/>
              <w:left w:val="nil"/>
              <w:bottom w:val="single" w:color="auto" w:sz="4" w:space="0"/>
              <w:right w:val="single" w:color="000000" w:sz="4" w:space="0"/>
            </w:tcBorders>
            <w:vAlign w:val="center"/>
          </w:tcPr>
          <w:p w14:paraId="6E5267F9">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5</w:t>
            </w:r>
          </w:p>
        </w:tc>
        <w:tc>
          <w:tcPr>
            <w:tcW w:w="709" w:type="dxa"/>
            <w:gridSpan w:val="2"/>
            <w:tcBorders>
              <w:top w:val="single" w:color="auto" w:sz="4" w:space="0"/>
              <w:left w:val="nil"/>
              <w:bottom w:val="single" w:color="auto" w:sz="4" w:space="0"/>
              <w:right w:val="single" w:color="000000" w:sz="4" w:space="0"/>
            </w:tcBorders>
            <w:vAlign w:val="center"/>
          </w:tcPr>
          <w:p w14:paraId="6A6BB67D">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5</w:t>
            </w:r>
          </w:p>
        </w:tc>
        <w:tc>
          <w:tcPr>
            <w:tcW w:w="1984" w:type="dxa"/>
            <w:gridSpan w:val="2"/>
            <w:tcBorders>
              <w:top w:val="single" w:color="auto" w:sz="4" w:space="0"/>
              <w:left w:val="nil"/>
              <w:bottom w:val="single" w:color="auto" w:sz="4" w:space="0"/>
              <w:right w:val="single" w:color="auto" w:sz="4" w:space="0"/>
            </w:tcBorders>
            <w:vAlign w:val="center"/>
          </w:tcPr>
          <w:p w14:paraId="4144C887">
            <w:pPr>
              <w:jc w:val="center"/>
              <w:rPr>
                <w:rFonts w:hint="eastAsia" w:ascii="宋体" w:hAnsi="宋体" w:eastAsia="宋体" w:cs="宋体"/>
                <w:color w:val="000000"/>
                <w:sz w:val="18"/>
                <w:szCs w:val="18"/>
              </w:rPr>
            </w:pPr>
          </w:p>
        </w:tc>
      </w:tr>
      <w:tr w14:paraId="759C3784">
        <w:tblPrEx>
          <w:tblCellMar>
            <w:top w:w="0" w:type="dxa"/>
            <w:left w:w="108" w:type="dxa"/>
            <w:bottom w:w="0" w:type="dxa"/>
            <w:right w:w="108" w:type="dxa"/>
          </w:tblCellMar>
        </w:tblPrEx>
        <w:trPr>
          <w:cantSplit/>
          <w:trHeight w:val="600" w:hRule="atLeast"/>
        </w:trPr>
        <w:tc>
          <w:tcPr>
            <w:tcW w:w="598" w:type="dxa"/>
            <w:vMerge w:val="continue"/>
            <w:tcBorders>
              <w:top w:val="nil"/>
              <w:left w:val="single" w:color="auto" w:sz="4" w:space="0"/>
              <w:bottom w:val="single" w:color="auto" w:sz="4" w:space="0"/>
              <w:right w:val="single" w:color="auto" w:sz="4" w:space="0"/>
            </w:tcBorders>
            <w:vAlign w:val="center"/>
          </w:tcPr>
          <w:p w14:paraId="1FF90313">
            <w:pPr>
              <w:rPr>
                <w:rFonts w:hint="eastAsia" w:ascii="宋体" w:hAnsi="宋体" w:eastAsia="宋体" w:cs="宋体"/>
                <w:color w:val="000000"/>
                <w:sz w:val="18"/>
                <w:szCs w:val="18"/>
              </w:rPr>
            </w:pPr>
          </w:p>
        </w:tc>
        <w:tc>
          <w:tcPr>
            <w:tcW w:w="707" w:type="dxa"/>
            <w:vMerge w:val="continue"/>
            <w:tcBorders>
              <w:left w:val="nil"/>
              <w:right w:val="single" w:color="auto" w:sz="4" w:space="0"/>
            </w:tcBorders>
            <w:vAlign w:val="center"/>
          </w:tcPr>
          <w:p w14:paraId="2EF7B570">
            <w:pPr>
              <w:jc w:val="center"/>
              <w:rPr>
                <w:rFonts w:hint="eastAsia" w:ascii="宋体" w:hAnsi="宋体" w:eastAsia="宋体" w:cs="宋体"/>
                <w:color w:val="000000"/>
                <w:sz w:val="18"/>
                <w:szCs w:val="18"/>
              </w:rPr>
            </w:pPr>
          </w:p>
        </w:tc>
        <w:tc>
          <w:tcPr>
            <w:tcW w:w="718" w:type="dxa"/>
            <w:vMerge w:val="continue"/>
            <w:tcBorders>
              <w:left w:val="nil"/>
              <w:right w:val="single" w:color="auto" w:sz="4" w:space="0"/>
            </w:tcBorders>
            <w:vAlign w:val="center"/>
          </w:tcPr>
          <w:p w14:paraId="6FF852BD">
            <w:pPr>
              <w:jc w:val="center"/>
              <w:rPr>
                <w:rFonts w:hint="eastAsia" w:ascii="宋体" w:hAnsi="宋体" w:eastAsia="宋体" w:cs="宋体"/>
                <w:color w:val="000000"/>
                <w:sz w:val="18"/>
                <w:szCs w:val="18"/>
              </w:rPr>
            </w:pPr>
          </w:p>
        </w:tc>
        <w:tc>
          <w:tcPr>
            <w:tcW w:w="1857" w:type="dxa"/>
            <w:gridSpan w:val="2"/>
            <w:tcBorders>
              <w:top w:val="single" w:color="auto" w:sz="4" w:space="0"/>
              <w:left w:val="nil"/>
              <w:bottom w:val="single" w:color="auto" w:sz="4" w:space="0"/>
              <w:right w:val="single" w:color="000000" w:sz="4" w:space="0"/>
            </w:tcBorders>
            <w:noWrap/>
            <w:vAlign w:val="center"/>
          </w:tcPr>
          <w:p w14:paraId="248B20B0">
            <w:pPr>
              <w:rPr>
                <w:rFonts w:hint="eastAsia" w:ascii="宋体" w:hAnsi="宋体" w:eastAsia="宋体" w:cs="宋体"/>
                <w:color w:val="000000"/>
                <w:sz w:val="18"/>
                <w:szCs w:val="18"/>
              </w:rPr>
            </w:pPr>
            <w:r>
              <w:rPr>
                <w:rFonts w:hint="eastAsia" w:ascii="宋体" w:hAnsi="宋体" w:eastAsia="宋体" w:cs="宋体"/>
                <w:color w:val="000000"/>
                <w:sz w:val="18"/>
                <w:szCs w:val="18"/>
              </w:rPr>
              <w:t>政府采购率</w:t>
            </w:r>
          </w:p>
        </w:tc>
        <w:tc>
          <w:tcPr>
            <w:tcW w:w="1125" w:type="dxa"/>
            <w:tcBorders>
              <w:top w:val="nil"/>
              <w:left w:val="nil"/>
              <w:bottom w:val="single" w:color="auto" w:sz="4" w:space="0"/>
              <w:right w:val="single" w:color="auto" w:sz="4" w:space="0"/>
            </w:tcBorders>
            <w:vAlign w:val="center"/>
          </w:tcPr>
          <w:p w14:paraId="0871B584">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=100%</w:t>
            </w:r>
          </w:p>
        </w:tc>
        <w:tc>
          <w:tcPr>
            <w:tcW w:w="1229" w:type="dxa"/>
            <w:tcBorders>
              <w:top w:val="nil"/>
              <w:left w:val="nil"/>
              <w:bottom w:val="single" w:color="auto" w:sz="4" w:space="0"/>
              <w:right w:val="single" w:color="auto" w:sz="4" w:space="0"/>
            </w:tcBorders>
            <w:vAlign w:val="center"/>
          </w:tcPr>
          <w:p w14:paraId="0D4D3790">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=0%</w:t>
            </w:r>
          </w:p>
        </w:tc>
        <w:tc>
          <w:tcPr>
            <w:tcW w:w="755" w:type="dxa"/>
            <w:gridSpan w:val="2"/>
            <w:tcBorders>
              <w:top w:val="single" w:color="auto" w:sz="4" w:space="0"/>
              <w:left w:val="nil"/>
              <w:bottom w:val="single" w:color="auto" w:sz="4" w:space="0"/>
              <w:right w:val="single" w:color="000000" w:sz="4" w:space="0"/>
            </w:tcBorders>
            <w:vAlign w:val="center"/>
          </w:tcPr>
          <w:p w14:paraId="66594209">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10</w:t>
            </w:r>
          </w:p>
        </w:tc>
        <w:tc>
          <w:tcPr>
            <w:tcW w:w="709" w:type="dxa"/>
            <w:gridSpan w:val="2"/>
            <w:tcBorders>
              <w:top w:val="single" w:color="auto" w:sz="4" w:space="0"/>
              <w:left w:val="nil"/>
              <w:bottom w:val="single" w:color="auto" w:sz="4" w:space="0"/>
              <w:right w:val="single" w:color="000000" w:sz="4" w:space="0"/>
            </w:tcBorders>
            <w:vAlign w:val="center"/>
          </w:tcPr>
          <w:p w14:paraId="0947525A">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0</w:t>
            </w:r>
          </w:p>
        </w:tc>
        <w:tc>
          <w:tcPr>
            <w:tcW w:w="1984" w:type="dxa"/>
            <w:gridSpan w:val="2"/>
            <w:tcBorders>
              <w:top w:val="single" w:color="auto" w:sz="4" w:space="0"/>
              <w:left w:val="nil"/>
              <w:bottom w:val="single" w:color="auto" w:sz="4" w:space="0"/>
              <w:right w:val="single" w:color="auto" w:sz="4" w:space="0"/>
            </w:tcBorders>
            <w:vAlign w:val="center"/>
          </w:tcPr>
          <w:p w14:paraId="102EFC92">
            <w:pPr>
              <w:jc w:val="center"/>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实际购买未走政府采购，直接线下店里购买。</w:t>
            </w:r>
          </w:p>
        </w:tc>
      </w:tr>
      <w:tr w14:paraId="11DA8FAA">
        <w:tblPrEx>
          <w:tblCellMar>
            <w:top w:w="0" w:type="dxa"/>
            <w:left w:w="108" w:type="dxa"/>
            <w:bottom w:w="0" w:type="dxa"/>
            <w:right w:w="108" w:type="dxa"/>
          </w:tblCellMar>
        </w:tblPrEx>
        <w:trPr>
          <w:cantSplit/>
          <w:trHeight w:val="600" w:hRule="atLeast"/>
        </w:trPr>
        <w:tc>
          <w:tcPr>
            <w:tcW w:w="598" w:type="dxa"/>
            <w:vMerge w:val="continue"/>
            <w:tcBorders>
              <w:top w:val="nil"/>
              <w:left w:val="single" w:color="auto" w:sz="4" w:space="0"/>
              <w:bottom w:val="single" w:color="auto" w:sz="4" w:space="0"/>
              <w:right w:val="single" w:color="auto" w:sz="4" w:space="0"/>
            </w:tcBorders>
            <w:vAlign w:val="center"/>
          </w:tcPr>
          <w:p w14:paraId="050AB1ED">
            <w:pPr>
              <w:rPr>
                <w:rFonts w:hint="eastAsia" w:ascii="宋体" w:hAnsi="宋体" w:eastAsia="宋体" w:cs="宋体"/>
                <w:color w:val="000000"/>
                <w:sz w:val="18"/>
                <w:szCs w:val="18"/>
                <w:lang w:eastAsia="zh-CN"/>
              </w:rPr>
            </w:pPr>
          </w:p>
        </w:tc>
        <w:tc>
          <w:tcPr>
            <w:tcW w:w="707" w:type="dxa"/>
            <w:vMerge w:val="continue"/>
            <w:tcBorders>
              <w:left w:val="nil"/>
              <w:right w:val="single" w:color="auto" w:sz="4" w:space="0"/>
            </w:tcBorders>
            <w:vAlign w:val="center"/>
          </w:tcPr>
          <w:p w14:paraId="06588507">
            <w:pPr>
              <w:jc w:val="center"/>
              <w:rPr>
                <w:rFonts w:hint="eastAsia" w:ascii="宋体" w:hAnsi="宋体" w:eastAsia="宋体" w:cs="宋体"/>
                <w:color w:val="000000"/>
                <w:sz w:val="18"/>
                <w:szCs w:val="18"/>
                <w:lang w:eastAsia="zh-CN"/>
              </w:rPr>
            </w:pPr>
          </w:p>
        </w:tc>
        <w:tc>
          <w:tcPr>
            <w:tcW w:w="718" w:type="dxa"/>
            <w:vMerge w:val="continue"/>
            <w:tcBorders>
              <w:left w:val="nil"/>
              <w:bottom w:val="single" w:color="auto" w:sz="4" w:space="0"/>
              <w:right w:val="single" w:color="auto" w:sz="4" w:space="0"/>
            </w:tcBorders>
            <w:vAlign w:val="center"/>
          </w:tcPr>
          <w:p w14:paraId="0CF40C4D">
            <w:pPr>
              <w:jc w:val="center"/>
              <w:rPr>
                <w:rFonts w:hint="eastAsia" w:ascii="宋体" w:hAnsi="宋体" w:eastAsia="宋体" w:cs="宋体"/>
                <w:color w:val="000000"/>
                <w:sz w:val="18"/>
                <w:szCs w:val="18"/>
                <w:lang w:eastAsia="zh-CN"/>
              </w:rPr>
            </w:pPr>
          </w:p>
        </w:tc>
        <w:tc>
          <w:tcPr>
            <w:tcW w:w="1857" w:type="dxa"/>
            <w:gridSpan w:val="2"/>
            <w:tcBorders>
              <w:top w:val="single" w:color="auto" w:sz="4" w:space="0"/>
              <w:left w:val="nil"/>
              <w:bottom w:val="single" w:color="auto" w:sz="4" w:space="0"/>
              <w:right w:val="single" w:color="000000" w:sz="4" w:space="0"/>
            </w:tcBorders>
            <w:noWrap/>
            <w:vAlign w:val="center"/>
          </w:tcPr>
          <w:p w14:paraId="0988A6A4">
            <w:pPr>
              <w:rPr>
                <w:rFonts w:hint="eastAsia" w:ascii="宋体" w:hAnsi="宋体" w:eastAsia="宋体" w:cs="宋体"/>
                <w:color w:val="000000"/>
                <w:sz w:val="18"/>
                <w:szCs w:val="18"/>
              </w:rPr>
            </w:pPr>
            <w:r>
              <w:rPr>
                <w:rFonts w:hint="eastAsia" w:ascii="宋体" w:hAnsi="宋体" w:eastAsia="宋体" w:cs="宋体"/>
                <w:color w:val="000000"/>
                <w:sz w:val="18"/>
                <w:szCs w:val="18"/>
              </w:rPr>
              <w:t>设备验收合格率</w:t>
            </w:r>
          </w:p>
        </w:tc>
        <w:tc>
          <w:tcPr>
            <w:tcW w:w="1125" w:type="dxa"/>
            <w:tcBorders>
              <w:top w:val="nil"/>
              <w:left w:val="nil"/>
              <w:bottom w:val="single" w:color="auto" w:sz="4" w:space="0"/>
              <w:right w:val="single" w:color="auto" w:sz="4" w:space="0"/>
            </w:tcBorders>
            <w:vAlign w:val="center"/>
          </w:tcPr>
          <w:p w14:paraId="5A6D8BB0">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=100%</w:t>
            </w:r>
          </w:p>
        </w:tc>
        <w:tc>
          <w:tcPr>
            <w:tcW w:w="1229" w:type="dxa"/>
            <w:tcBorders>
              <w:top w:val="nil"/>
              <w:left w:val="nil"/>
              <w:bottom w:val="single" w:color="auto" w:sz="4" w:space="0"/>
              <w:right w:val="single" w:color="auto" w:sz="4" w:space="0"/>
            </w:tcBorders>
            <w:vAlign w:val="center"/>
          </w:tcPr>
          <w:p w14:paraId="3794BBED">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=100%</w:t>
            </w:r>
          </w:p>
        </w:tc>
        <w:tc>
          <w:tcPr>
            <w:tcW w:w="755" w:type="dxa"/>
            <w:gridSpan w:val="2"/>
            <w:tcBorders>
              <w:top w:val="single" w:color="auto" w:sz="4" w:space="0"/>
              <w:left w:val="nil"/>
              <w:bottom w:val="single" w:color="auto" w:sz="4" w:space="0"/>
              <w:right w:val="single" w:color="000000" w:sz="4" w:space="0"/>
            </w:tcBorders>
            <w:vAlign w:val="center"/>
          </w:tcPr>
          <w:p w14:paraId="5FFA3688">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5</w:t>
            </w:r>
          </w:p>
        </w:tc>
        <w:tc>
          <w:tcPr>
            <w:tcW w:w="709" w:type="dxa"/>
            <w:gridSpan w:val="2"/>
            <w:tcBorders>
              <w:top w:val="single" w:color="auto" w:sz="4" w:space="0"/>
              <w:left w:val="nil"/>
              <w:bottom w:val="single" w:color="auto" w:sz="4" w:space="0"/>
              <w:right w:val="single" w:color="000000" w:sz="4" w:space="0"/>
            </w:tcBorders>
            <w:vAlign w:val="center"/>
          </w:tcPr>
          <w:p w14:paraId="1D0AEB88">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5</w:t>
            </w:r>
          </w:p>
        </w:tc>
        <w:tc>
          <w:tcPr>
            <w:tcW w:w="1984" w:type="dxa"/>
            <w:gridSpan w:val="2"/>
            <w:tcBorders>
              <w:top w:val="single" w:color="auto" w:sz="4" w:space="0"/>
              <w:left w:val="nil"/>
              <w:bottom w:val="single" w:color="auto" w:sz="4" w:space="0"/>
              <w:right w:val="single" w:color="auto" w:sz="4" w:space="0"/>
            </w:tcBorders>
            <w:vAlign w:val="center"/>
          </w:tcPr>
          <w:p w14:paraId="46FA7801">
            <w:pPr>
              <w:jc w:val="center"/>
              <w:rPr>
                <w:rFonts w:hint="eastAsia" w:ascii="宋体" w:hAnsi="宋体" w:eastAsia="宋体" w:cs="宋体"/>
                <w:color w:val="000000"/>
                <w:sz w:val="18"/>
                <w:szCs w:val="18"/>
              </w:rPr>
            </w:pPr>
          </w:p>
        </w:tc>
      </w:tr>
      <w:tr w14:paraId="43C77177">
        <w:tblPrEx>
          <w:tblCellMar>
            <w:top w:w="0" w:type="dxa"/>
            <w:left w:w="108" w:type="dxa"/>
            <w:bottom w:w="0" w:type="dxa"/>
            <w:right w:w="108" w:type="dxa"/>
          </w:tblCellMar>
        </w:tblPrEx>
        <w:trPr>
          <w:cantSplit/>
          <w:trHeight w:val="600" w:hRule="atLeast"/>
        </w:trPr>
        <w:tc>
          <w:tcPr>
            <w:tcW w:w="598" w:type="dxa"/>
            <w:vMerge w:val="continue"/>
            <w:tcBorders>
              <w:top w:val="nil"/>
              <w:left w:val="single" w:color="auto" w:sz="4" w:space="0"/>
              <w:bottom w:val="single" w:color="auto" w:sz="4" w:space="0"/>
              <w:right w:val="single" w:color="auto" w:sz="4" w:space="0"/>
            </w:tcBorders>
            <w:vAlign w:val="center"/>
          </w:tcPr>
          <w:p w14:paraId="08C6234F">
            <w:pPr>
              <w:rPr>
                <w:rFonts w:hint="eastAsia" w:ascii="宋体" w:hAnsi="宋体" w:eastAsia="宋体" w:cs="宋体"/>
                <w:color w:val="000000"/>
                <w:sz w:val="18"/>
                <w:szCs w:val="18"/>
              </w:rPr>
            </w:pPr>
          </w:p>
        </w:tc>
        <w:tc>
          <w:tcPr>
            <w:tcW w:w="707" w:type="dxa"/>
            <w:vMerge w:val="continue"/>
            <w:tcBorders>
              <w:left w:val="nil"/>
              <w:bottom w:val="single" w:color="auto" w:sz="4" w:space="0"/>
              <w:right w:val="single" w:color="auto" w:sz="4" w:space="0"/>
            </w:tcBorders>
            <w:vAlign w:val="center"/>
          </w:tcPr>
          <w:p w14:paraId="34454A2B">
            <w:pPr>
              <w:jc w:val="center"/>
              <w:rPr>
                <w:rFonts w:hint="eastAsia" w:ascii="宋体" w:hAnsi="宋体" w:eastAsia="宋体" w:cs="宋体"/>
                <w:color w:val="000000"/>
                <w:sz w:val="18"/>
                <w:szCs w:val="18"/>
              </w:rPr>
            </w:pPr>
          </w:p>
        </w:tc>
        <w:tc>
          <w:tcPr>
            <w:tcW w:w="718" w:type="dxa"/>
            <w:tcBorders>
              <w:top w:val="nil"/>
              <w:left w:val="nil"/>
              <w:bottom w:val="single" w:color="auto" w:sz="4" w:space="0"/>
              <w:right w:val="single" w:color="auto" w:sz="4" w:space="0"/>
            </w:tcBorders>
            <w:vAlign w:val="center"/>
          </w:tcPr>
          <w:p w14:paraId="613B1D80">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时效指标</w:t>
            </w:r>
          </w:p>
        </w:tc>
        <w:tc>
          <w:tcPr>
            <w:tcW w:w="1857" w:type="dxa"/>
            <w:gridSpan w:val="2"/>
            <w:tcBorders>
              <w:top w:val="single" w:color="auto" w:sz="4" w:space="0"/>
              <w:left w:val="nil"/>
              <w:bottom w:val="single" w:color="auto" w:sz="4" w:space="0"/>
              <w:right w:val="single" w:color="000000" w:sz="4" w:space="0"/>
            </w:tcBorders>
            <w:noWrap/>
            <w:vAlign w:val="center"/>
          </w:tcPr>
          <w:p w14:paraId="33E79516">
            <w:pPr>
              <w:rPr>
                <w:rFonts w:hint="eastAsia" w:ascii="宋体" w:hAnsi="宋体" w:eastAsia="宋体" w:cs="宋体"/>
                <w:color w:val="000000"/>
                <w:sz w:val="18"/>
                <w:szCs w:val="18"/>
              </w:rPr>
            </w:pPr>
            <w:r>
              <w:rPr>
                <w:rFonts w:hint="eastAsia" w:ascii="宋体" w:hAnsi="宋体" w:eastAsia="宋体" w:cs="宋体"/>
                <w:color w:val="000000"/>
                <w:sz w:val="18"/>
                <w:szCs w:val="18"/>
              </w:rPr>
              <w:t>资金拨付及时率（%）</w:t>
            </w:r>
          </w:p>
        </w:tc>
        <w:tc>
          <w:tcPr>
            <w:tcW w:w="1125" w:type="dxa"/>
            <w:tcBorders>
              <w:top w:val="nil"/>
              <w:left w:val="nil"/>
              <w:bottom w:val="single" w:color="auto" w:sz="4" w:space="0"/>
              <w:right w:val="single" w:color="auto" w:sz="4" w:space="0"/>
            </w:tcBorders>
            <w:vAlign w:val="center"/>
          </w:tcPr>
          <w:p w14:paraId="564F41CF">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=100%</w:t>
            </w:r>
          </w:p>
        </w:tc>
        <w:tc>
          <w:tcPr>
            <w:tcW w:w="1229" w:type="dxa"/>
            <w:tcBorders>
              <w:top w:val="nil"/>
              <w:left w:val="nil"/>
              <w:bottom w:val="single" w:color="auto" w:sz="4" w:space="0"/>
              <w:right w:val="single" w:color="auto" w:sz="4" w:space="0"/>
            </w:tcBorders>
            <w:vAlign w:val="center"/>
          </w:tcPr>
          <w:p w14:paraId="399C93B7">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=100%</w:t>
            </w:r>
          </w:p>
        </w:tc>
        <w:tc>
          <w:tcPr>
            <w:tcW w:w="755" w:type="dxa"/>
            <w:gridSpan w:val="2"/>
            <w:tcBorders>
              <w:top w:val="single" w:color="auto" w:sz="4" w:space="0"/>
              <w:left w:val="nil"/>
              <w:bottom w:val="single" w:color="auto" w:sz="4" w:space="0"/>
              <w:right w:val="single" w:color="000000" w:sz="4" w:space="0"/>
            </w:tcBorders>
            <w:vAlign w:val="center"/>
          </w:tcPr>
          <w:p w14:paraId="46DBB470">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10</w:t>
            </w:r>
          </w:p>
        </w:tc>
        <w:tc>
          <w:tcPr>
            <w:tcW w:w="709" w:type="dxa"/>
            <w:gridSpan w:val="2"/>
            <w:tcBorders>
              <w:top w:val="single" w:color="auto" w:sz="4" w:space="0"/>
              <w:left w:val="nil"/>
              <w:bottom w:val="single" w:color="auto" w:sz="4" w:space="0"/>
              <w:right w:val="single" w:color="000000" w:sz="4" w:space="0"/>
            </w:tcBorders>
            <w:vAlign w:val="center"/>
          </w:tcPr>
          <w:p w14:paraId="75A6082C">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10</w:t>
            </w:r>
          </w:p>
        </w:tc>
        <w:tc>
          <w:tcPr>
            <w:tcW w:w="1984" w:type="dxa"/>
            <w:gridSpan w:val="2"/>
            <w:tcBorders>
              <w:top w:val="single" w:color="auto" w:sz="4" w:space="0"/>
              <w:left w:val="nil"/>
              <w:bottom w:val="single" w:color="auto" w:sz="4" w:space="0"/>
              <w:right w:val="single" w:color="auto" w:sz="4" w:space="0"/>
            </w:tcBorders>
            <w:vAlign w:val="center"/>
          </w:tcPr>
          <w:p w14:paraId="7D9477DE">
            <w:pPr>
              <w:jc w:val="center"/>
              <w:rPr>
                <w:rFonts w:hint="eastAsia" w:ascii="宋体" w:hAnsi="宋体" w:eastAsia="宋体" w:cs="宋体"/>
                <w:color w:val="000000"/>
                <w:sz w:val="18"/>
                <w:szCs w:val="18"/>
              </w:rPr>
            </w:pPr>
          </w:p>
        </w:tc>
      </w:tr>
      <w:tr w14:paraId="69C1B09D">
        <w:tblPrEx>
          <w:tblCellMar>
            <w:top w:w="0" w:type="dxa"/>
            <w:left w:w="108" w:type="dxa"/>
            <w:bottom w:w="0" w:type="dxa"/>
            <w:right w:w="108" w:type="dxa"/>
          </w:tblCellMar>
        </w:tblPrEx>
        <w:trPr>
          <w:cantSplit/>
          <w:trHeight w:val="600" w:hRule="atLeast"/>
        </w:trPr>
        <w:tc>
          <w:tcPr>
            <w:tcW w:w="598" w:type="dxa"/>
            <w:vMerge w:val="continue"/>
            <w:tcBorders>
              <w:top w:val="nil"/>
              <w:left w:val="single" w:color="auto" w:sz="4" w:space="0"/>
              <w:bottom w:val="single" w:color="auto" w:sz="4" w:space="0"/>
              <w:right w:val="single" w:color="auto" w:sz="4" w:space="0"/>
            </w:tcBorders>
            <w:vAlign w:val="center"/>
          </w:tcPr>
          <w:p w14:paraId="5558B8C6">
            <w:pPr>
              <w:rPr>
                <w:rFonts w:hint="eastAsia" w:ascii="宋体" w:hAnsi="宋体" w:eastAsia="宋体" w:cs="宋体"/>
                <w:color w:val="000000"/>
                <w:sz w:val="18"/>
                <w:szCs w:val="18"/>
              </w:rPr>
            </w:pPr>
          </w:p>
        </w:tc>
        <w:tc>
          <w:tcPr>
            <w:tcW w:w="707" w:type="dxa"/>
            <w:vMerge w:val="restart"/>
            <w:tcBorders>
              <w:top w:val="nil"/>
              <w:left w:val="nil"/>
              <w:right w:val="single" w:color="auto" w:sz="4" w:space="0"/>
            </w:tcBorders>
            <w:vAlign w:val="center"/>
          </w:tcPr>
          <w:p w14:paraId="47B555E7">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成本指标</w:t>
            </w:r>
          </w:p>
        </w:tc>
        <w:tc>
          <w:tcPr>
            <w:tcW w:w="718" w:type="dxa"/>
            <w:vMerge w:val="restart"/>
            <w:tcBorders>
              <w:top w:val="nil"/>
              <w:left w:val="nil"/>
              <w:right w:val="single" w:color="auto" w:sz="4" w:space="0"/>
            </w:tcBorders>
            <w:vAlign w:val="center"/>
          </w:tcPr>
          <w:p w14:paraId="12AD4DD2">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经济成本指标</w:t>
            </w:r>
          </w:p>
        </w:tc>
        <w:tc>
          <w:tcPr>
            <w:tcW w:w="1857" w:type="dxa"/>
            <w:gridSpan w:val="2"/>
            <w:tcBorders>
              <w:top w:val="single" w:color="auto" w:sz="4" w:space="0"/>
              <w:left w:val="nil"/>
              <w:bottom w:val="single" w:color="auto" w:sz="4" w:space="0"/>
              <w:right w:val="single" w:color="000000" w:sz="4" w:space="0"/>
            </w:tcBorders>
            <w:noWrap/>
            <w:vAlign w:val="center"/>
          </w:tcPr>
          <w:p w14:paraId="1D8F2F08">
            <w:pPr>
              <w:rPr>
                <w:rFonts w:hint="eastAsia" w:ascii="宋体" w:hAnsi="宋体" w:eastAsia="宋体" w:cs="宋体"/>
                <w:color w:val="000000"/>
                <w:sz w:val="18"/>
                <w:szCs w:val="18"/>
              </w:rPr>
            </w:pPr>
            <w:r>
              <w:rPr>
                <w:rFonts w:hint="eastAsia" w:ascii="宋体" w:hAnsi="宋体" w:eastAsia="宋体" w:cs="宋体"/>
                <w:color w:val="000000"/>
                <w:sz w:val="18"/>
                <w:szCs w:val="18"/>
              </w:rPr>
              <w:t>购置服装的成本</w:t>
            </w:r>
          </w:p>
        </w:tc>
        <w:tc>
          <w:tcPr>
            <w:tcW w:w="1125" w:type="dxa"/>
            <w:tcBorders>
              <w:top w:val="nil"/>
              <w:left w:val="nil"/>
              <w:bottom w:val="single" w:color="auto" w:sz="4" w:space="0"/>
              <w:right w:val="single" w:color="auto" w:sz="4" w:space="0"/>
            </w:tcBorders>
            <w:vAlign w:val="center"/>
          </w:tcPr>
          <w:p w14:paraId="190C1329">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&lt;=3.4万元</w:t>
            </w:r>
          </w:p>
        </w:tc>
        <w:tc>
          <w:tcPr>
            <w:tcW w:w="1229" w:type="dxa"/>
            <w:tcBorders>
              <w:top w:val="nil"/>
              <w:left w:val="nil"/>
              <w:bottom w:val="single" w:color="auto" w:sz="4" w:space="0"/>
              <w:right w:val="single" w:color="auto" w:sz="4" w:space="0"/>
            </w:tcBorders>
            <w:vAlign w:val="center"/>
          </w:tcPr>
          <w:p w14:paraId="7F47C9C8">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截止2024年12月31日，</w:t>
            </w:r>
          </w:p>
          <w:p w14:paraId="0014FF36">
            <w:pPr>
              <w:jc w:val="center"/>
              <w:rPr>
                <w:rFonts w:hint="eastAsia" w:ascii="宋体" w:hAnsi="宋体" w:eastAsia="宋体" w:cs="宋体"/>
                <w:color w:val="000000"/>
                <w:sz w:val="18"/>
                <w:szCs w:val="18"/>
              </w:rPr>
            </w:pPr>
          </w:p>
        </w:tc>
        <w:tc>
          <w:tcPr>
            <w:tcW w:w="755" w:type="dxa"/>
            <w:gridSpan w:val="2"/>
            <w:tcBorders>
              <w:top w:val="single" w:color="auto" w:sz="4" w:space="0"/>
              <w:left w:val="nil"/>
              <w:bottom w:val="single" w:color="auto" w:sz="4" w:space="0"/>
              <w:right w:val="single" w:color="000000" w:sz="4" w:space="0"/>
            </w:tcBorders>
            <w:vAlign w:val="center"/>
          </w:tcPr>
          <w:p w14:paraId="408F7057">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10</w:t>
            </w:r>
          </w:p>
        </w:tc>
        <w:tc>
          <w:tcPr>
            <w:tcW w:w="709" w:type="dxa"/>
            <w:gridSpan w:val="2"/>
            <w:tcBorders>
              <w:top w:val="single" w:color="auto" w:sz="4" w:space="0"/>
              <w:left w:val="nil"/>
              <w:bottom w:val="single" w:color="auto" w:sz="4" w:space="0"/>
              <w:right w:val="single" w:color="000000" w:sz="4" w:space="0"/>
            </w:tcBorders>
            <w:vAlign w:val="center"/>
          </w:tcPr>
          <w:p w14:paraId="59D59C83">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10</w:t>
            </w:r>
          </w:p>
        </w:tc>
        <w:tc>
          <w:tcPr>
            <w:tcW w:w="1984" w:type="dxa"/>
            <w:gridSpan w:val="2"/>
            <w:tcBorders>
              <w:top w:val="single" w:color="auto" w:sz="4" w:space="0"/>
              <w:left w:val="nil"/>
              <w:bottom w:val="single" w:color="auto" w:sz="4" w:space="0"/>
              <w:right w:val="single" w:color="auto" w:sz="4" w:space="0"/>
            </w:tcBorders>
            <w:vAlign w:val="center"/>
          </w:tcPr>
          <w:p w14:paraId="72E22C12">
            <w:pPr>
              <w:jc w:val="center"/>
              <w:rPr>
                <w:rFonts w:hint="eastAsia" w:ascii="宋体" w:hAnsi="宋体" w:eastAsia="宋体" w:cs="宋体"/>
                <w:color w:val="000000"/>
                <w:sz w:val="18"/>
                <w:szCs w:val="18"/>
              </w:rPr>
            </w:pPr>
          </w:p>
        </w:tc>
      </w:tr>
      <w:tr w14:paraId="7CC601FE">
        <w:tblPrEx>
          <w:tblCellMar>
            <w:top w:w="0" w:type="dxa"/>
            <w:left w:w="108" w:type="dxa"/>
            <w:bottom w:w="0" w:type="dxa"/>
            <w:right w:w="108" w:type="dxa"/>
          </w:tblCellMar>
        </w:tblPrEx>
        <w:trPr>
          <w:cantSplit/>
          <w:trHeight w:val="600" w:hRule="atLeast"/>
        </w:trPr>
        <w:tc>
          <w:tcPr>
            <w:tcW w:w="598" w:type="dxa"/>
            <w:vMerge w:val="continue"/>
            <w:tcBorders>
              <w:top w:val="nil"/>
              <w:left w:val="single" w:color="auto" w:sz="4" w:space="0"/>
              <w:bottom w:val="single" w:color="auto" w:sz="4" w:space="0"/>
              <w:right w:val="single" w:color="auto" w:sz="4" w:space="0"/>
            </w:tcBorders>
            <w:vAlign w:val="center"/>
          </w:tcPr>
          <w:p w14:paraId="46A15D76">
            <w:pPr>
              <w:rPr>
                <w:rFonts w:hint="eastAsia" w:ascii="宋体" w:hAnsi="宋体" w:eastAsia="宋体" w:cs="宋体"/>
                <w:color w:val="000000"/>
                <w:sz w:val="18"/>
                <w:szCs w:val="18"/>
              </w:rPr>
            </w:pPr>
          </w:p>
        </w:tc>
        <w:tc>
          <w:tcPr>
            <w:tcW w:w="707" w:type="dxa"/>
            <w:vMerge w:val="continue"/>
            <w:tcBorders>
              <w:left w:val="nil"/>
              <w:bottom w:val="single" w:color="auto" w:sz="4" w:space="0"/>
              <w:right w:val="single" w:color="auto" w:sz="4" w:space="0"/>
            </w:tcBorders>
            <w:vAlign w:val="center"/>
          </w:tcPr>
          <w:p w14:paraId="378B5D52">
            <w:pPr>
              <w:jc w:val="center"/>
              <w:rPr>
                <w:rFonts w:hint="eastAsia" w:ascii="宋体" w:hAnsi="宋体" w:eastAsia="宋体" w:cs="宋体"/>
                <w:color w:val="000000"/>
                <w:sz w:val="18"/>
                <w:szCs w:val="18"/>
              </w:rPr>
            </w:pPr>
          </w:p>
        </w:tc>
        <w:tc>
          <w:tcPr>
            <w:tcW w:w="718" w:type="dxa"/>
            <w:vMerge w:val="continue"/>
            <w:tcBorders>
              <w:left w:val="nil"/>
              <w:bottom w:val="single" w:color="auto" w:sz="4" w:space="0"/>
              <w:right w:val="single" w:color="auto" w:sz="4" w:space="0"/>
            </w:tcBorders>
            <w:vAlign w:val="center"/>
          </w:tcPr>
          <w:p w14:paraId="7887EA61">
            <w:pPr>
              <w:jc w:val="center"/>
              <w:rPr>
                <w:rFonts w:hint="eastAsia" w:ascii="宋体" w:hAnsi="宋体" w:eastAsia="宋体" w:cs="宋体"/>
                <w:color w:val="000000"/>
                <w:sz w:val="18"/>
                <w:szCs w:val="18"/>
              </w:rPr>
            </w:pPr>
          </w:p>
        </w:tc>
        <w:tc>
          <w:tcPr>
            <w:tcW w:w="1857" w:type="dxa"/>
            <w:gridSpan w:val="2"/>
            <w:tcBorders>
              <w:top w:val="single" w:color="auto" w:sz="4" w:space="0"/>
              <w:left w:val="nil"/>
              <w:bottom w:val="single" w:color="auto" w:sz="4" w:space="0"/>
              <w:right w:val="single" w:color="000000" w:sz="4" w:space="0"/>
            </w:tcBorders>
            <w:noWrap/>
            <w:vAlign w:val="center"/>
          </w:tcPr>
          <w:p w14:paraId="1137720B">
            <w:pPr>
              <w:rPr>
                <w:rFonts w:hint="eastAsia" w:ascii="宋体" w:hAnsi="宋体" w:eastAsia="宋体" w:cs="宋体"/>
                <w:color w:val="000000"/>
                <w:sz w:val="18"/>
                <w:szCs w:val="18"/>
              </w:rPr>
            </w:pPr>
            <w:r>
              <w:rPr>
                <w:rFonts w:hint="eastAsia" w:ascii="宋体" w:hAnsi="宋体" w:eastAsia="宋体" w:cs="宋体"/>
                <w:color w:val="000000"/>
                <w:sz w:val="18"/>
                <w:szCs w:val="18"/>
              </w:rPr>
              <w:t>购置装备的成本</w:t>
            </w:r>
          </w:p>
        </w:tc>
        <w:tc>
          <w:tcPr>
            <w:tcW w:w="1125" w:type="dxa"/>
            <w:tcBorders>
              <w:top w:val="nil"/>
              <w:left w:val="nil"/>
              <w:bottom w:val="single" w:color="auto" w:sz="4" w:space="0"/>
              <w:right w:val="single" w:color="auto" w:sz="4" w:space="0"/>
            </w:tcBorders>
            <w:vAlign w:val="center"/>
          </w:tcPr>
          <w:p w14:paraId="171ECB91">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&lt;=0.60万元</w:t>
            </w:r>
          </w:p>
        </w:tc>
        <w:tc>
          <w:tcPr>
            <w:tcW w:w="1229" w:type="dxa"/>
            <w:tcBorders>
              <w:top w:val="nil"/>
              <w:left w:val="nil"/>
              <w:bottom w:val="single" w:color="auto" w:sz="4" w:space="0"/>
              <w:right w:val="single" w:color="auto" w:sz="4" w:space="0"/>
            </w:tcBorders>
            <w:vAlign w:val="center"/>
          </w:tcPr>
          <w:p w14:paraId="13743CAA">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=0.6万元</w:t>
            </w:r>
          </w:p>
        </w:tc>
        <w:tc>
          <w:tcPr>
            <w:tcW w:w="755" w:type="dxa"/>
            <w:gridSpan w:val="2"/>
            <w:tcBorders>
              <w:top w:val="single" w:color="auto" w:sz="4" w:space="0"/>
              <w:left w:val="nil"/>
              <w:bottom w:val="single" w:color="auto" w:sz="4" w:space="0"/>
              <w:right w:val="single" w:color="000000" w:sz="4" w:space="0"/>
            </w:tcBorders>
            <w:vAlign w:val="center"/>
          </w:tcPr>
          <w:p w14:paraId="6D480811">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10</w:t>
            </w:r>
          </w:p>
        </w:tc>
        <w:tc>
          <w:tcPr>
            <w:tcW w:w="709" w:type="dxa"/>
            <w:gridSpan w:val="2"/>
            <w:tcBorders>
              <w:top w:val="single" w:color="auto" w:sz="4" w:space="0"/>
              <w:left w:val="nil"/>
              <w:bottom w:val="single" w:color="auto" w:sz="4" w:space="0"/>
              <w:right w:val="single" w:color="000000" w:sz="4" w:space="0"/>
            </w:tcBorders>
            <w:vAlign w:val="center"/>
          </w:tcPr>
          <w:p w14:paraId="7F6A6ADC">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10</w:t>
            </w:r>
          </w:p>
        </w:tc>
        <w:tc>
          <w:tcPr>
            <w:tcW w:w="1984" w:type="dxa"/>
            <w:gridSpan w:val="2"/>
            <w:tcBorders>
              <w:top w:val="single" w:color="auto" w:sz="4" w:space="0"/>
              <w:left w:val="nil"/>
              <w:bottom w:val="single" w:color="auto" w:sz="4" w:space="0"/>
              <w:right w:val="single" w:color="auto" w:sz="4" w:space="0"/>
            </w:tcBorders>
            <w:vAlign w:val="center"/>
          </w:tcPr>
          <w:p w14:paraId="30926F56">
            <w:pPr>
              <w:jc w:val="center"/>
              <w:rPr>
                <w:rFonts w:hint="eastAsia" w:ascii="宋体" w:hAnsi="宋体" w:eastAsia="宋体" w:cs="宋体"/>
                <w:color w:val="000000"/>
                <w:sz w:val="18"/>
                <w:szCs w:val="18"/>
              </w:rPr>
            </w:pPr>
          </w:p>
        </w:tc>
      </w:tr>
      <w:tr w14:paraId="7B161166">
        <w:tblPrEx>
          <w:tblCellMar>
            <w:top w:w="0" w:type="dxa"/>
            <w:left w:w="108" w:type="dxa"/>
            <w:bottom w:w="0" w:type="dxa"/>
            <w:right w:w="108" w:type="dxa"/>
          </w:tblCellMar>
        </w:tblPrEx>
        <w:trPr>
          <w:cantSplit/>
          <w:trHeight w:val="600" w:hRule="atLeast"/>
        </w:trPr>
        <w:tc>
          <w:tcPr>
            <w:tcW w:w="598" w:type="dxa"/>
            <w:vMerge w:val="continue"/>
            <w:tcBorders>
              <w:top w:val="nil"/>
              <w:left w:val="single" w:color="auto" w:sz="4" w:space="0"/>
              <w:bottom w:val="single" w:color="auto" w:sz="4" w:space="0"/>
              <w:right w:val="single" w:color="auto" w:sz="4" w:space="0"/>
            </w:tcBorders>
            <w:vAlign w:val="center"/>
          </w:tcPr>
          <w:p w14:paraId="53475F9D">
            <w:pPr>
              <w:rPr>
                <w:rFonts w:hint="eastAsia" w:ascii="宋体" w:hAnsi="宋体" w:eastAsia="宋体" w:cs="宋体"/>
                <w:color w:val="000000"/>
                <w:sz w:val="18"/>
                <w:szCs w:val="18"/>
              </w:rPr>
            </w:pPr>
          </w:p>
        </w:tc>
        <w:tc>
          <w:tcPr>
            <w:tcW w:w="707" w:type="dxa"/>
            <w:tcBorders>
              <w:top w:val="nil"/>
              <w:left w:val="nil"/>
              <w:bottom w:val="single" w:color="auto" w:sz="4" w:space="0"/>
              <w:right w:val="single" w:color="auto" w:sz="4" w:space="0"/>
            </w:tcBorders>
            <w:vAlign w:val="center"/>
          </w:tcPr>
          <w:p w14:paraId="742BEB10">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效益指标</w:t>
            </w:r>
          </w:p>
        </w:tc>
        <w:tc>
          <w:tcPr>
            <w:tcW w:w="718" w:type="dxa"/>
            <w:tcBorders>
              <w:top w:val="nil"/>
              <w:left w:val="nil"/>
              <w:bottom w:val="single" w:color="auto" w:sz="4" w:space="0"/>
              <w:right w:val="single" w:color="auto" w:sz="4" w:space="0"/>
            </w:tcBorders>
            <w:vAlign w:val="center"/>
          </w:tcPr>
          <w:p w14:paraId="53E5CDA1">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社会效益指标</w:t>
            </w:r>
          </w:p>
        </w:tc>
        <w:tc>
          <w:tcPr>
            <w:tcW w:w="1857" w:type="dxa"/>
            <w:gridSpan w:val="2"/>
            <w:tcBorders>
              <w:top w:val="single" w:color="auto" w:sz="4" w:space="0"/>
              <w:left w:val="nil"/>
              <w:bottom w:val="single" w:color="auto" w:sz="4" w:space="0"/>
              <w:right w:val="single" w:color="000000" w:sz="4" w:space="0"/>
            </w:tcBorders>
            <w:noWrap/>
            <w:vAlign w:val="center"/>
          </w:tcPr>
          <w:p w14:paraId="320E8D67">
            <w:pPr>
              <w:rPr>
                <w:rFonts w:hint="eastAsia" w:ascii="宋体" w:hAnsi="宋体" w:eastAsia="宋体" w:cs="宋体"/>
                <w:color w:val="000000"/>
                <w:sz w:val="18"/>
                <w:szCs w:val="18"/>
              </w:rPr>
            </w:pPr>
            <w:r>
              <w:rPr>
                <w:rFonts w:hint="eastAsia" w:ascii="宋体" w:hAnsi="宋体" w:eastAsia="宋体" w:cs="宋体"/>
                <w:color w:val="000000"/>
                <w:sz w:val="18"/>
                <w:szCs w:val="18"/>
              </w:rPr>
              <w:t>提高公众安全感</w:t>
            </w:r>
          </w:p>
        </w:tc>
        <w:tc>
          <w:tcPr>
            <w:tcW w:w="1125" w:type="dxa"/>
            <w:tcBorders>
              <w:top w:val="nil"/>
              <w:left w:val="nil"/>
              <w:bottom w:val="single" w:color="auto" w:sz="4" w:space="0"/>
              <w:right w:val="single" w:color="auto" w:sz="4" w:space="0"/>
            </w:tcBorders>
            <w:vAlign w:val="center"/>
          </w:tcPr>
          <w:p w14:paraId="7353822E">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有效提高</w:t>
            </w:r>
          </w:p>
        </w:tc>
        <w:tc>
          <w:tcPr>
            <w:tcW w:w="1229" w:type="dxa"/>
            <w:tcBorders>
              <w:top w:val="nil"/>
              <w:left w:val="nil"/>
              <w:bottom w:val="single" w:color="auto" w:sz="4" w:space="0"/>
              <w:right w:val="single" w:color="auto" w:sz="4" w:space="0"/>
            </w:tcBorders>
            <w:vAlign w:val="center"/>
          </w:tcPr>
          <w:p w14:paraId="65B60FC7">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完全达到预期</w:t>
            </w:r>
          </w:p>
        </w:tc>
        <w:tc>
          <w:tcPr>
            <w:tcW w:w="755" w:type="dxa"/>
            <w:gridSpan w:val="2"/>
            <w:tcBorders>
              <w:top w:val="single" w:color="auto" w:sz="4" w:space="0"/>
              <w:left w:val="nil"/>
              <w:bottom w:val="single" w:color="auto" w:sz="4" w:space="0"/>
              <w:right w:val="single" w:color="000000" w:sz="4" w:space="0"/>
            </w:tcBorders>
            <w:vAlign w:val="center"/>
          </w:tcPr>
          <w:p w14:paraId="148822E2">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20</w:t>
            </w:r>
          </w:p>
        </w:tc>
        <w:tc>
          <w:tcPr>
            <w:tcW w:w="709" w:type="dxa"/>
            <w:gridSpan w:val="2"/>
            <w:tcBorders>
              <w:top w:val="single" w:color="auto" w:sz="4" w:space="0"/>
              <w:left w:val="nil"/>
              <w:bottom w:val="single" w:color="auto" w:sz="4" w:space="0"/>
              <w:right w:val="single" w:color="000000" w:sz="4" w:space="0"/>
            </w:tcBorders>
            <w:vAlign w:val="center"/>
          </w:tcPr>
          <w:p w14:paraId="45AEE68F">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20</w:t>
            </w:r>
          </w:p>
        </w:tc>
        <w:tc>
          <w:tcPr>
            <w:tcW w:w="1984" w:type="dxa"/>
            <w:gridSpan w:val="2"/>
            <w:tcBorders>
              <w:top w:val="single" w:color="auto" w:sz="4" w:space="0"/>
              <w:left w:val="nil"/>
              <w:bottom w:val="single" w:color="auto" w:sz="4" w:space="0"/>
              <w:right w:val="single" w:color="auto" w:sz="4" w:space="0"/>
            </w:tcBorders>
            <w:vAlign w:val="center"/>
          </w:tcPr>
          <w:p w14:paraId="61CFC71A">
            <w:pPr>
              <w:jc w:val="center"/>
              <w:rPr>
                <w:rFonts w:hint="eastAsia" w:ascii="宋体" w:hAnsi="宋体" w:eastAsia="宋体" w:cs="宋体"/>
                <w:color w:val="000000"/>
                <w:sz w:val="18"/>
                <w:szCs w:val="18"/>
              </w:rPr>
            </w:pPr>
          </w:p>
        </w:tc>
      </w:tr>
      <w:tr w14:paraId="3333BB29">
        <w:tblPrEx>
          <w:tblCellMar>
            <w:top w:w="0" w:type="dxa"/>
            <w:left w:w="108" w:type="dxa"/>
            <w:bottom w:w="0" w:type="dxa"/>
            <w:right w:w="108" w:type="dxa"/>
          </w:tblCellMar>
        </w:tblPrEx>
        <w:trPr>
          <w:cantSplit/>
          <w:trHeight w:val="600" w:hRule="atLeast"/>
        </w:trPr>
        <w:tc>
          <w:tcPr>
            <w:tcW w:w="598" w:type="dxa"/>
            <w:vMerge w:val="continue"/>
            <w:tcBorders>
              <w:top w:val="nil"/>
              <w:left w:val="single" w:color="auto" w:sz="4" w:space="0"/>
              <w:bottom w:val="single" w:color="auto" w:sz="4" w:space="0"/>
              <w:right w:val="single" w:color="auto" w:sz="4" w:space="0"/>
            </w:tcBorders>
            <w:vAlign w:val="center"/>
          </w:tcPr>
          <w:p w14:paraId="18A677E8">
            <w:pPr>
              <w:rPr>
                <w:rFonts w:hint="eastAsia" w:ascii="宋体" w:hAnsi="宋体" w:eastAsia="宋体" w:cs="宋体"/>
                <w:color w:val="000000"/>
                <w:sz w:val="18"/>
                <w:szCs w:val="18"/>
              </w:rPr>
            </w:pPr>
          </w:p>
        </w:tc>
        <w:tc>
          <w:tcPr>
            <w:tcW w:w="707" w:type="dxa"/>
            <w:tcBorders>
              <w:top w:val="nil"/>
              <w:left w:val="nil"/>
              <w:bottom w:val="single" w:color="auto" w:sz="4" w:space="0"/>
              <w:right w:val="single" w:color="auto" w:sz="4" w:space="0"/>
            </w:tcBorders>
            <w:vAlign w:val="center"/>
          </w:tcPr>
          <w:p w14:paraId="4552D0E1">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满意度指标</w:t>
            </w:r>
          </w:p>
        </w:tc>
        <w:tc>
          <w:tcPr>
            <w:tcW w:w="718" w:type="dxa"/>
            <w:tcBorders>
              <w:top w:val="nil"/>
              <w:left w:val="nil"/>
              <w:bottom w:val="single" w:color="auto" w:sz="4" w:space="0"/>
              <w:right w:val="single" w:color="auto" w:sz="4" w:space="0"/>
            </w:tcBorders>
            <w:vAlign w:val="center"/>
          </w:tcPr>
          <w:p w14:paraId="15241A2A">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满意度指标</w:t>
            </w:r>
          </w:p>
        </w:tc>
        <w:tc>
          <w:tcPr>
            <w:tcW w:w="1857" w:type="dxa"/>
            <w:gridSpan w:val="2"/>
            <w:tcBorders>
              <w:top w:val="single" w:color="auto" w:sz="4" w:space="0"/>
              <w:left w:val="nil"/>
              <w:bottom w:val="single" w:color="auto" w:sz="4" w:space="0"/>
              <w:right w:val="single" w:color="000000" w:sz="4" w:space="0"/>
            </w:tcBorders>
            <w:noWrap/>
            <w:vAlign w:val="center"/>
          </w:tcPr>
          <w:p w14:paraId="250C693E">
            <w:pPr>
              <w:rPr>
                <w:rFonts w:hint="eastAsia" w:ascii="宋体" w:hAnsi="宋体" w:eastAsia="宋体" w:cs="宋体"/>
                <w:color w:val="000000"/>
                <w:sz w:val="18"/>
                <w:szCs w:val="18"/>
              </w:rPr>
            </w:pPr>
            <w:r>
              <w:rPr>
                <w:rFonts w:hint="eastAsia" w:ascii="宋体" w:hAnsi="宋体" w:eastAsia="宋体" w:cs="宋体"/>
                <w:color w:val="000000"/>
                <w:sz w:val="18"/>
                <w:szCs w:val="18"/>
              </w:rPr>
              <w:t>工作人员满意度</w:t>
            </w:r>
          </w:p>
        </w:tc>
        <w:tc>
          <w:tcPr>
            <w:tcW w:w="1125" w:type="dxa"/>
            <w:tcBorders>
              <w:top w:val="nil"/>
              <w:left w:val="nil"/>
              <w:bottom w:val="single" w:color="auto" w:sz="4" w:space="0"/>
              <w:right w:val="single" w:color="auto" w:sz="4" w:space="0"/>
            </w:tcBorders>
            <w:vAlign w:val="center"/>
          </w:tcPr>
          <w:p w14:paraId="682E3AE6">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&gt;=98%</w:t>
            </w:r>
          </w:p>
        </w:tc>
        <w:tc>
          <w:tcPr>
            <w:tcW w:w="1229" w:type="dxa"/>
            <w:tcBorders>
              <w:top w:val="nil"/>
              <w:left w:val="nil"/>
              <w:bottom w:val="single" w:color="auto" w:sz="4" w:space="0"/>
              <w:right w:val="single" w:color="auto" w:sz="4" w:space="0"/>
            </w:tcBorders>
            <w:vAlign w:val="center"/>
          </w:tcPr>
          <w:p w14:paraId="50967F6B">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=98%</w:t>
            </w:r>
          </w:p>
        </w:tc>
        <w:tc>
          <w:tcPr>
            <w:tcW w:w="755" w:type="dxa"/>
            <w:gridSpan w:val="2"/>
            <w:tcBorders>
              <w:top w:val="single" w:color="auto" w:sz="4" w:space="0"/>
              <w:left w:val="nil"/>
              <w:bottom w:val="single" w:color="auto" w:sz="4" w:space="0"/>
              <w:right w:val="single" w:color="000000" w:sz="4" w:space="0"/>
            </w:tcBorders>
            <w:vAlign w:val="center"/>
          </w:tcPr>
          <w:p w14:paraId="38A2FAFF">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10</w:t>
            </w:r>
          </w:p>
        </w:tc>
        <w:tc>
          <w:tcPr>
            <w:tcW w:w="709" w:type="dxa"/>
            <w:gridSpan w:val="2"/>
            <w:tcBorders>
              <w:top w:val="single" w:color="auto" w:sz="4" w:space="0"/>
              <w:left w:val="nil"/>
              <w:bottom w:val="single" w:color="auto" w:sz="4" w:space="0"/>
              <w:right w:val="single" w:color="000000" w:sz="4" w:space="0"/>
            </w:tcBorders>
            <w:vAlign w:val="center"/>
          </w:tcPr>
          <w:p w14:paraId="5F83DB48">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10</w:t>
            </w:r>
          </w:p>
        </w:tc>
        <w:tc>
          <w:tcPr>
            <w:tcW w:w="1984" w:type="dxa"/>
            <w:gridSpan w:val="2"/>
            <w:tcBorders>
              <w:top w:val="single" w:color="auto" w:sz="4" w:space="0"/>
              <w:left w:val="nil"/>
              <w:bottom w:val="single" w:color="auto" w:sz="4" w:space="0"/>
              <w:right w:val="single" w:color="auto" w:sz="4" w:space="0"/>
            </w:tcBorders>
            <w:vAlign w:val="center"/>
          </w:tcPr>
          <w:p w14:paraId="60804068">
            <w:pPr>
              <w:jc w:val="center"/>
              <w:rPr>
                <w:rFonts w:hint="eastAsia" w:ascii="宋体" w:hAnsi="宋体" w:eastAsia="宋体" w:cs="宋体"/>
                <w:color w:val="000000"/>
                <w:sz w:val="18"/>
                <w:szCs w:val="18"/>
              </w:rPr>
            </w:pPr>
          </w:p>
        </w:tc>
      </w:tr>
      <w:tr w14:paraId="03C48ECD">
        <w:tblPrEx>
          <w:tblCellMar>
            <w:top w:w="0" w:type="dxa"/>
            <w:left w:w="108" w:type="dxa"/>
            <w:bottom w:w="0" w:type="dxa"/>
            <w:right w:w="108" w:type="dxa"/>
          </w:tblCellMar>
        </w:tblPrEx>
        <w:trPr>
          <w:cantSplit/>
          <w:trHeight w:val="500" w:hRule="atLeast"/>
        </w:trPr>
        <w:tc>
          <w:tcPr>
            <w:tcW w:w="6234" w:type="dxa"/>
            <w:gridSpan w:val="7"/>
            <w:tcBorders>
              <w:top w:val="single" w:color="auto" w:sz="4" w:space="0"/>
              <w:left w:val="single" w:color="auto" w:sz="4" w:space="0"/>
              <w:bottom w:val="single" w:color="auto" w:sz="4" w:space="0"/>
              <w:right w:val="single" w:color="auto" w:sz="4" w:space="0"/>
            </w:tcBorders>
            <w:vAlign w:val="center"/>
          </w:tcPr>
          <w:p w14:paraId="629FE484">
            <w:pPr>
              <w:jc w:val="center"/>
              <w:rPr>
                <w:rFonts w:hint="eastAsia" w:ascii="宋体" w:hAnsi="宋体" w:eastAsia="宋体" w:cs="宋体"/>
                <w:b/>
                <w:bCs/>
                <w:color w:val="000000"/>
                <w:sz w:val="18"/>
                <w:szCs w:val="18"/>
              </w:rPr>
            </w:pPr>
            <w:r>
              <w:rPr>
                <w:rFonts w:hint="eastAsia" w:ascii="宋体" w:hAnsi="宋体" w:eastAsia="宋体" w:cs="宋体"/>
                <w:b/>
                <w:bCs/>
                <w:color w:val="000000"/>
                <w:sz w:val="18"/>
                <w:szCs w:val="18"/>
              </w:rPr>
              <w:t>总分</w:t>
            </w:r>
          </w:p>
        </w:tc>
        <w:tc>
          <w:tcPr>
            <w:tcW w:w="755" w:type="dxa"/>
            <w:gridSpan w:val="2"/>
            <w:tcBorders>
              <w:top w:val="single" w:color="auto" w:sz="4" w:space="0"/>
              <w:left w:val="nil"/>
              <w:bottom w:val="single" w:color="auto" w:sz="4" w:space="0"/>
              <w:right w:val="single" w:color="auto" w:sz="4" w:space="0"/>
            </w:tcBorders>
            <w:vAlign w:val="center"/>
          </w:tcPr>
          <w:p w14:paraId="2B0E86E1">
            <w:pPr>
              <w:jc w:val="center"/>
              <w:rPr>
                <w:rFonts w:hint="eastAsia" w:ascii="宋体" w:hAnsi="宋体" w:eastAsia="宋体" w:cs="宋体"/>
                <w:b/>
                <w:bCs/>
                <w:color w:val="000000"/>
                <w:sz w:val="18"/>
                <w:szCs w:val="18"/>
              </w:rPr>
            </w:pPr>
            <w:r>
              <w:rPr>
                <w:rFonts w:hint="eastAsia" w:ascii="宋体" w:hAnsi="宋体" w:eastAsia="宋体" w:cs="宋体"/>
                <w:b/>
                <w:bCs/>
                <w:color w:val="000000"/>
                <w:sz w:val="18"/>
                <w:szCs w:val="18"/>
              </w:rPr>
              <w:t>100</w:t>
            </w:r>
          </w:p>
        </w:tc>
        <w:tc>
          <w:tcPr>
            <w:tcW w:w="709" w:type="dxa"/>
            <w:gridSpan w:val="2"/>
            <w:tcBorders>
              <w:top w:val="single" w:color="auto" w:sz="4" w:space="0"/>
              <w:left w:val="nil"/>
              <w:bottom w:val="single" w:color="auto" w:sz="4" w:space="0"/>
              <w:right w:val="single" w:color="auto" w:sz="4" w:space="0"/>
            </w:tcBorders>
            <w:vAlign w:val="center"/>
          </w:tcPr>
          <w:p w14:paraId="675920EE">
            <w:pPr>
              <w:jc w:val="center"/>
              <w:rPr>
                <w:rFonts w:hint="eastAsia" w:ascii="宋体" w:hAnsi="宋体" w:eastAsia="宋体" w:cs="宋体"/>
                <w:b/>
                <w:bCs/>
                <w:color w:val="000000"/>
                <w:sz w:val="18"/>
                <w:szCs w:val="18"/>
              </w:rPr>
            </w:pPr>
            <w:r>
              <w:rPr>
                <w:rFonts w:hint="eastAsia" w:ascii="宋体" w:hAnsi="宋体" w:eastAsia="宋体" w:cs="宋体"/>
                <w:b/>
                <w:bCs/>
                <w:color w:val="000000"/>
                <w:sz w:val="18"/>
                <w:szCs w:val="18"/>
              </w:rPr>
              <w:t>88.33分</w:t>
            </w:r>
          </w:p>
        </w:tc>
        <w:tc>
          <w:tcPr>
            <w:tcW w:w="1984" w:type="dxa"/>
            <w:gridSpan w:val="2"/>
            <w:tcBorders>
              <w:top w:val="single" w:color="auto" w:sz="4" w:space="0"/>
              <w:left w:val="nil"/>
              <w:bottom w:val="single" w:color="auto" w:sz="4" w:space="0"/>
              <w:right w:val="single" w:color="auto" w:sz="4" w:space="0"/>
            </w:tcBorders>
            <w:vAlign w:val="center"/>
          </w:tcPr>
          <w:p w14:paraId="61513754">
            <w:pPr>
              <w:jc w:val="center"/>
              <w:rPr>
                <w:rFonts w:hint="eastAsia" w:ascii="宋体" w:hAnsi="宋体" w:eastAsia="宋体" w:cs="宋体"/>
                <w:b/>
                <w:bCs/>
                <w:color w:val="000000"/>
                <w:sz w:val="18"/>
                <w:szCs w:val="18"/>
              </w:rPr>
            </w:pPr>
          </w:p>
        </w:tc>
      </w:tr>
    </w:tbl>
    <w:p w14:paraId="26A6F690">
      <w:pPr>
        <w:jc w:val="center"/>
        <w:rPr>
          <w:rFonts w:hint="eastAsia" w:ascii="宋体" w:hAnsi="宋体" w:eastAsia="宋体" w:cs="宋体"/>
          <w:b/>
          <w:bCs/>
          <w:sz w:val="28"/>
          <w:szCs w:val="28"/>
        </w:rPr>
      </w:pPr>
      <w:r>
        <w:rPr>
          <w:rFonts w:hint="eastAsia" w:ascii="宋体" w:hAnsi="宋体" w:eastAsia="宋体" w:cs="宋体"/>
          <w:b/>
          <w:bCs/>
          <w:sz w:val="18"/>
          <w:szCs w:val="18"/>
        </w:rPr>
        <w:br w:type="page"/>
      </w:r>
      <w:bookmarkEnd w:id="4"/>
      <w:r>
        <w:rPr>
          <w:rFonts w:hint="eastAsia" w:ascii="宋体" w:hAnsi="宋体" w:eastAsia="宋体" w:cs="宋体"/>
          <w:b/>
          <w:bCs/>
          <w:sz w:val="28"/>
          <w:szCs w:val="28"/>
        </w:rPr>
        <w:t>项目支出绩效自评表</w:t>
      </w:r>
    </w:p>
    <w:p w14:paraId="6E4DAC9B">
      <w:pPr>
        <w:jc w:val="center"/>
        <w:rPr>
          <w:rFonts w:hint="eastAsia" w:ascii="宋体" w:hAnsi="宋体" w:eastAsia="宋体" w:cs="宋体"/>
          <w:b/>
          <w:bCs/>
          <w:sz w:val="18"/>
          <w:szCs w:val="18"/>
        </w:rPr>
      </w:pPr>
      <w:r>
        <w:rPr>
          <w:rFonts w:hint="eastAsia" w:ascii="宋体" w:hAnsi="宋体" w:eastAsia="宋体" w:cs="宋体"/>
          <w:b/>
          <w:bCs/>
          <w:sz w:val="18"/>
          <w:szCs w:val="18"/>
        </w:rPr>
        <w:t>（2024年度）</w:t>
      </w:r>
    </w:p>
    <w:tbl>
      <w:tblPr>
        <w:tblStyle w:val="12"/>
        <w:tblW w:w="9682" w:type="dxa"/>
        <w:tblInd w:w="-502" w:type="dxa"/>
        <w:tblLayout w:type="fixed"/>
        <w:tblCellMar>
          <w:top w:w="0" w:type="dxa"/>
          <w:left w:w="108" w:type="dxa"/>
          <w:bottom w:w="0" w:type="dxa"/>
          <w:right w:w="108" w:type="dxa"/>
        </w:tblCellMar>
      </w:tblPr>
      <w:tblGrid>
        <w:gridCol w:w="598"/>
        <w:gridCol w:w="707"/>
        <w:gridCol w:w="718"/>
        <w:gridCol w:w="618"/>
        <w:gridCol w:w="1239"/>
        <w:gridCol w:w="1125"/>
        <w:gridCol w:w="1229"/>
        <w:gridCol w:w="46"/>
        <w:gridCol w:w="709"/>
        <w:gridCol w:w="425"/>
        <w:gridCol w:w="284"/>
        <w:gridCol w:w="709"/>
        <w:gridCol w:w="1275"/>
      </w:tblGrid>
      <w:tr w14:paraId="70D8AADD">
        <w:tblPrEx>
          <w:tblCellMar>
            <w:top w:w="0" w:type="dxa"/>
            <w:left w:w="108" w:type="dxa"/>
            <w:bottom w:w="0" w:type="dxa"/>
            <w:right w:w="108" w:type="dxa"/>
          </w:tblCellMar>
        </w:tblPrEx>
        <w:trPr>
          <w:cantSplit/>
          <w:trHeight w:val="500" w:hRule="atLeast"/>
        </w:trPr>
        <w:tc>
          <w:tcPr>
            <w:tcW w:w="1305" w:type="dxa"/>
            <w:gridSpan w:val="2"/>
            <w:tcBorders>
              <w:top w:val="single" w:color="auto" w:sz="4" w:space="0"/>
              <w:left w:val="single" w:color="auto" w:sz="4" w:space="0"/>
              <w:bottom w:val="single" w:color="auto" w:sz="4" w:space="0"/>
              <w:right w:val="single" w:color="auto" w:sz="4" w:space="0"/>
            </w:tcBorders>
            <w:vAlign w:val="center"/>
          </w:tcPr>
          <w:p w14:paraId="34E39C49">
            <w:pPr>
              <w:jc w:val="center"/>
              <w:rPr>
                <w:rFonts w:hint="eastAsia" w:ascii="宋体" w:hAnsi="宋体" w:eastAsia="宋体" w:cs="宋体"/>
                <w:b/>
                <w:bCs/>
                <w:color w:val="000000"/>
                <w:sz w:val="18"/>
                <w:szCs w:val="18"/>
              </w:rPr>
            </w:pPr>
            <w:r>
              <w:rPr>
                <w:rFonts w:hint="eastAsia" w:ascii="宋体" w:hAnsi="宋体" w:eastAsia="宋体" w:cs="宋体"/>
                <w:b/>
                <w:bCs/>
                <w:color w:val="000000"/>
                <w:sz w:val="18"/>
                <w:szCs w:val="18"/>
              </w:rPr>
              <w:t>项目名称</w:t>
            </w:r>
          </w:p>
        </w:tc>
        <w:tc>
          <w:tcPr>
            <w:tcW w:w="8377" w:type="dxa"/>
            <w:gridSpan w:val="11"/>
            <w:tcBorders>
              <w:top w:val="single" w:color="auto" w:sz="4" w:space="0"/>
              <w:left w:val="nil"/>
              <w:bottom w:val="single" w:color="auto" w:sz="4" w:space="0"/>
              <w:right w:val="single" w:color="000000" w:sz="4" w:space="0"/>
            </w:tcBorders>
            <w:vAlign w:val="center"/>
          </w:tcPr>
          <w:p w14:paraId="1AEF7E9A">
            <w:pPr>
              <w:jc w:val="center"/>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2024年本级追加，达党财纪字〔2024〕2号，追加政法委解决拖欠中国电信股份有限公司达坂城分局链路服务费</w:t>
            </w:r>
          </w:p>
        </w:tc>
      </w:tr>
      <w:tr w14:paraId="1163386D">
        <w:tblPrEx>
          <w:tblCellMar>
            <w:top w:w="0" w:type="dxa"/>
            <w:left w:w="108" w:type="dxa"/>
            <w:bottom w:w="0" w:type="dxa"/>
            <w:right w:w="108" w:type="dxa"/>
          </w:tblCellMar>
        </w:tblPrEx>
        <w:trPr>
          <w:cantSplit/>
          <w:trHeight w:val="500" w:hRule="atLeast"/>
        </w:trPr>
        <w:tc>
          <w:tcPr>
            <w:tcW w:w="1305" w:type="dxa"/>
            <w:gridSpan w:val="2"/>
            <w:tcBorders>
              <w:top w:val="single" w:color="auto" w:sz="4" w:space="0"/>
              <w:left w:val="single" w:color="auto" w:sz="4" w:space="0"/>
              <w:bottom w:val="single" w:color="auto" w:sz="4" w:space="0"/>
              <w:right w:val="single" w:color="auto" w:sz="4" w:space="0"/>
            </w:tcBorders>
            <w:vAlign w:val="center"/>
          </w:tcPr>
          <w:p w14:paraId="431FE715">
            <w:pPr>
              <w:jc w:val="center"/>
              <w:rPr>
                <w:rFonts w:hint="eastAsia" w:ascii="宋体" w:hAnsi="宋体" w:eastAsia="宋体" w:cs="宋体"/>
                <w:b/>
                <w:bCs/>
                <w:color w:val="000000"/>
                <w:sz w:val="18"/>
                <w:szCs w:val="18"/>
              </w:rPr>
            </w:pPr>
            <w:r>
              <w:rPr>
                <w:rFonts w:hint="eastAsia" w:ascii="宋体" w:hAnsi="宋体" w:eastAsia="宋体" w:cs="宋体"/>
                <w:b/>
                <w:bCs/>
                <w:color w:val="000000"/>
                <w:sz w:val="18"/>
                <w:szCs w:val="18"/>
              </w:rPr>
              <w:t>主管部门</w:t>
            </w:r>
          </w:p>
        </w:tc>
        <w:tc>
          <w:tcPr>
            <w:tcW w:w="3700" w:type="dxa"/>
            <w:gridSpan w:val="4"/>
            <w:tcBorders>
              <w:top w:val="single" w:color="auto" w:sz="4" w:space="0"/>
              <w:left w:val="nil"/>
              <w:bottom w:val="single" w:color="auto" w:sz="4" w:space="0"/>
              <w:right w:val="single" w:color="000000" w:sz="4" w:space="0"/>
            </w:tcBorders>
            <w:vAlign w:val="center"/>
          </w:tcPr>
          <w:p w14:paraId="39F0E1C7">
            <w:pPr>
              <w:jc w:val="center"/>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 xml:space="preserve"> 中国共产党乌鲁木齐市达坂城区政法委员会办公室</w:t>
            </w:r>
          </w:p>
        </w:tc>
        <w:tc>
          <w:tcPr>
            <w:tcW w:w="1275" w:type="dxa"/>
            <w:gridSpan w:val="2"/>
            <w:tcBorders>
              <w:top w:val="nil"/>
              <w:left w:val="nil"/>
              <w:bottom w:val="single" w:color="auto" w:sz="4" w:space="0"/>
              <w:right w:val="single" w:color="000000" w:sz="4" w:space="0"/>
            </w:tcBorders>
            <w:vAlign w:val="center"/>
          </w:tcPr>
          <w:p w14:paraId="69125E44">
            <w:pPr>
              <w:jc w:val="center"/>
              <w:rPr>
                <w:rFonts w:hint="eastAsia" w:ascii="宋体" w:hAnsi="宋体" w:eastAsia="宋体" w:cs="宋体"/>
                <w:color w:val="000000"/>
                <w:sz w:val="18"/>
                <w:szCs w:val="18"/>
              </w:rPr>
            </w:pPr>
            <w:r>
              <w:rPr>
                <w:rFonts w:hint="eastAsia" w:ascii="宋体" w:hAnsi="宋体" w:eastAsia="宋体" w:cs="宋体"/>
                <w:b/>
                <w:bCs/>
                <w:color w:val="000000"/>
                <w:sz w:val="18"/>
                <w:szCs w:val="18"/>
              </w:rPr>
              <w:t>实施单位</w:t>
            </w:r>
          </w:p>
        </w:tc>
        <w:tc>
          <w:tcPr>
            <w:tcW w:w="3402" w:type="dxa"/>
            <w:gridSpan w:val="5"/>
            <w:tcBorders>
              <w:top w:val="nil"/>
              <w:left w:val="nil"/>
              <w:bottom w:val="single" w:color="auto" w:sz="4" w:space="0"/>
              <w:right w:val="single" w:color="000000" w:sz="4" w:space="0"/>
            </w:tcBorders>
            <w:vAlign w:val="center"/>
          </w:tcPr>
          <w:p w14:paraId="00B741C8">
            <w:pPr>
              <w:jc w:val="center"/>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中国共产党乌鲁木齐市达坂城区政法委员会办公室</w:t>
            </w:r>
          </w:p>
        </w:tc>
      </w:tr>
      <w:tr w14:paraId="5F74ACC0">
        <w:tblPrEx>
          <w:tblCellMar>
            <w:top w:w="0" w:type="dxa"/>
            <w:left w:w="108" w:type="dxa"/>
            <w:bottom w:w="0" w:type="dxa"/>
            <w:right w:w="108" w:type="dxa"/>
          </w:tblCellMar>
        </w:tblPrEx>
        <w:trPr>
          <w:cantSplit/>
          <w:trHeight w:val="500" w:hRule="atLeast"/>
        </w:trPr>
        <w:tc>
          <w:tcPr>
            <w:tcW w:w="1305" w:type="dxa"/>
            <w:gridSpan w:val="2"/>
            <w:vMerge w:val="restart"/>
            <w:tcBorders>
              <w:top w:val="single" w:color="auto" w:sz="4" w:space="0"/>
              <w:left w:val="single" w:color="auto" w:sz="4" w:space="0"/>
              <w:bottom w:val="single" w:color="auto" w:sz="4" w:space="0"/>
              <w:right w:val="single" w:color="auto" w:sz="4" w:space="0"/>
            </w:tcBorders>
            <w:vAlign w:val="center"/>
          </w:tcPr>
          <w:p w14:paraId="26786BDE">
            <w:pPr>
              <w:jc w:val="center"/>
              <w:rPr>
                <w:rFonts w:hint="eastAsia" w:ascii="宋体" w:hAnsi="宋体" w:eastAsia="宋体" w:cs="宋体"/>
                <w:b/>
                <w:bCs/>
                <w:color w:val="000000"/>
                <w:sz w:val="18"/>
                <w:szCs w:val="18"/>
              </w:rPr>
            </w:pPr>
            <w:r>
              <w:rPr>
                <w:rFonts w:hint="eastAsia" w:ascii="宋体" w:hAnsi="宋体" w:eastAsia="宋体" w:cs="宋体"/>
                <w:b/>
                <w:bCs/>
                <w:color w:val="000000"/>
                <w:sz w:val="18"/>
                <w:szCs w:val="18"/>
              </w:rPr>
              <w:t>项目资金（万元）</w:t>
            </w:r>
          </w:p>
        </w:tc>
        <w:tc>
          <w:tcPr>
            <w:tcW w:w="1336" w:type="dxa"/>
            <w:gridSpan w:val="2"/>
            <w:tcBorders>
              <w:top w:val="single" w:color="auto" w:sz="4" w:space="0"/>
              <w:left w:val="nil"/>
              <w:bottom w:val="single" w:color="auto" w:sz="4" w:space="0"/>
              <w:right w:val="single" w:color="auto" w:sz="4" w:space="0"/>
            </w:tcBorders>
            <w:vAlign w:val="center"/>
          </w:tcPr>
          <w:p w14:paraId="74CEE073">
            <w:pPr>
              <w:jc w:val="center"/>
              <w:rPr>
                <w:rFonts w:hint="eastAsia" w:ascii="宋体" w:hAnsi="宋体" w:eastAsia="宋体" w:cs="宋体"/>
                <w:color w:val="000000"/>
                <w:sz w:val="18"/>
                <w:szCs w:val="18"/>
              </w:rPr>
            </w:pPr>
          </w:p>
        </w:tc>
        <w:tc>
          <w:tcPr>
            <w:tcW w:w="1239" w:type="dxa"/>
            <w:tcBorders>
              <w:top w:val="single" w:color="auto" w:sz="4" w:space="0"/>
              <w:left w:val="nil"/>
              <w:bottom w:val="single" w:color="auto" w:sz="4" w:space="0"/>
              <w:right w:val="single" w:color="000000" w:sz="4" w:space="0"/>
            </w:tcBorders>
            <w:vAlign w:val="center"/>
          </w:tcPr>
          <w:p w14:paraId="3F859832">
            <w:pPr>
              <w:jc w:val="center"/>
              <w:rPr>
                <w:rFonts w:hint="eastAsia" w:ascii="宋体" w:hAnsi="宋体" w:eastAsia="宋体" w:cs="宋体"/>
                <w:b/>
                <w:bCs/>
                <w:color w:val="000000"/>
                <w:sz w:val="18"/>
                <w:szCs w:val="18"/>
              </w:rPr>
            </w:pPr>
            <w:r>
              <w:rPr>
                <w:rFonts w:hint="eastAsia" w:ascii="宋体" w:hAnsi="宋体" w:eastAsia="宋体" w:cs="宋体"/>
                <w:b/>
                <w:bCs/>
                <w:color w:val="000000"/>
                <w:sz w:val="18"/>
                <w:szCs w:val="18"/>
              </w:rPr>
              <w:t>年初预算数</w:t>
            </w:r>
          </w:p>
        </w:tc>
        <w:tc>
          <w:tcPr>
            <w:tcW w:w="1125" w:type="dxa"/>
            <w:tcBorders>
              <w:top w:val="nil"/>
              <w:left w:val="nil"/>
              <w:bottom w:val="single" w:color="auto" w:sz="4" w:space="0"/>
              <w:right w:val="single" w:color="auto" w:sz="4" w:space="0"/>
            </w:tcBorders>
            <w:vAlign w:val="center"/>
          </w:tcPr>
          <w:p w14:paraId="032C9481">
            <w:pPr>
              <w:jc w:val="center"/>
              <w:rPr>
                <w:rFonts w:hint="eastAsia" w:ascii="宋体" w:hAnsi="宋体" w:eastAsia="宋体" w:cs="宋体"/>
                <w:b/>
                <w:bCs/>
                <w:color w:val="000000"/>
                <w:sz w:val="18"/>
                <w:szCs w:val="18"/>
              </w:rPr>
            </w:pPr>
            <w:r>
              <w:rPr>
                <w:rFonts w:hint="eastAsia" w:ascii="宋体" w:hAnsi="宋体" w:eastAsia="宋体" w:cs="宋体"/>
                <w:b/>
                <w:bCs/>
                <w:color w:val="000000"/>
                <w:sz w:val="18"/>
                <w:szCs w:val="18"/>
              </w:rPr>
              <w:t>全年预算数</w:t>
            </w:r>
          </w:p>
        </w:tc>
        <w:tc>
          <w:tcPr>
            <w:tcW w:w="1275" w:type="dxa"/>
            <w:gridSpan w:val="2"/>
            <w:tcBorders>
              <w:top w:val="single" w:color="auto" w:sz="4" w:space="0"/>
              <w:left w:val="nil"/>
              <w:bottom w:val="single" w:color="auto" w:sz="4" w:space="0"/>
              <w:right w:val="single" w:color="auto" w:sz="4" w:space="0"/>
            </w:tcBorders>
            <w:vAlign w:val="center"/>
          </w:tcPr>
          <w:p w14:paraId="6049C046">
            <w:pPr>
              <w:jc w:val="center"/>
              <w:rPr>
                <w:rFonts w:hint="eastAsia" w:ascii="宋体" w:hAnsi="宋体" w:eastAsia="宋体" w:cs="宋体"/>
                <w:b/>
                <w:bCs/>
                <w:color w:val="000000"/>
                <w:sz w:val="18"/>
                <w:szCs w:val="18"/>
              </w:rPr>
            </w:pPr>
            <w:r>
              <w:rPr>
                <w:rFonts w:hint="eastAsia" w:ascii="宋体" w:hAnsi="宋体" w:eastAsia="宋体" w:cs="宋体"/>
                <w:b/>
                <w:bCs/>
                <w:color w:val="000000"/>
                <w:sz w:val="18"/>
                <w:szCs w:val="18"/>
              </w:rPr>
              <w:t>全年执行数</w:t>
            </w:r>
          </w:p>
        </w:tc>
        <w:tc>
          <w:tcPr>
            <w:tcW w:w="1134" w:type="dxa"/>
            <w:gridSpan w:val="2"/>
            <w:tcBorders>
              <w:top w:val="single" w:color="auto" w:sz="4" w:space="0"/>
              <w:left w:val="nil"/>
              <w:bottom w:val="single" w:color="auto" w:sz="4" w:space="0"/>
              <w:right w:val="single" w:color="auto" w:sz="4" w:space="0"/>
            </w:tcBorders>
            <w:vAlign w:val="center"/>
          </w:tcPr>
          <w:p w14:paraId="08622C1B">
            <w:pPr>
              <w:jc w:val="center"/>
              <w:rPr>
                <w:rFonts w:hint="eastAsia" w:ascii="宋体" w:hAnsi="宋体" w:eastAsia="宋体" w:cs="宋体"/>
                <w:b/>
                <w:bCs/>
                <w:color w:val="000000"/>
                <w:sz w:val="18"/>
                <w:szCs w:val="18"/>
              </w:rPr>
            </w:pPr>
            <w:r>
              <w:rPr>
                <w:rFonts w:hint="eastAsia" w:ascii="宋体" w:hAnsi="宋体" w:eastAsia="宋体" w:cs="宋体"/>
                <w:b/>
                <w:bCs/>
                <w:color w:val="000000"/>
                <w:sz w:val="18"/>
                <w:szCs w:val="18"/>
              </w:rPr>
              <w:t>分值</w:t>
            </w:r>
          </w:p>
        </w:tc>
        <w:tc>
          <w:tcPr>
            <w:tcW w:w="993" w:type="dxa"/>
            <w:gridSpan w:val="2"/>
            <w:tcBorders>
              <w:top w:val="single" w:color="auto" w:sz="4" w:space="0"/>
              <w:left w:val="nil"/>
              <w:bottom w:val="single" w:color="auto" w:sz="4" w:space="0"/>
              <w:right w:val="single" w:color="auto" w:sz="4" w:space="0"/>
            </w:tcBorders>
            <w:vAlign w:val="center"/>
          </w:tcPr>
          <w:p w14:paraId="3942B6CA">
            <w:pPr>
              <w:jc w:val="center"/>
              <w:rPr>
                <w:rFonts w:hint="eastAsia" w:ascii="宋体" w:hAnsi="宋体" w:eastAsia="宋体" w:cs="宋体"/>
                <w:b/>
                <w:bCs/>
                <w:color w:val="000000"/>
                <w:sz w:val="18"/>
                <w:szCs w:val="18"/>
              </w:rPr>
            </w:pPr>
            <w:r>
              <w:rPr>
                <w:rFonts w:hint="eastAsia" w:ascii="宋体" w:hAnsi="宋体" w:eastAsia="宋体" w:cs="宋体"/>
                <w:b/>
                <w:bCs/>
                <w:color w:val="000000"/>
                <w:sz w:val="18"/>
                <w:szCs w:val="18"/>
              </w:rPr>
              <w:t>执行率</w:t>
            </w:r>
          </w:p>
        </w:tc>
        <w:tc>
          <w:tcPr>
            <w:tcW w:w="1275" w:type="dxa"/>
            <w:tcBorders>
              <w:top w:val="nil"/>
              <w:left w:val="nil"/>
              <w:bottom w:val="single" w:color="auto" w:sz="4" w:space="0"/>
              <w:right w:val="single" w:color="auto" w:sz="4" w:space="0"/>
            </w:tcBorders>
            <w:vAlign w:val="center"/>
          </w:tcPr>
          <w:p w14:paraId="4F6B38F3">
            <w:pPr>
              <w:jc w:val="center"/>
              <w:rPr>
                <w:rFonts w:hint="eastAsia" w:ascii="宋体" w:hAnsi="宋体" w:eastAsia="宋体" w:cs="宋体"/>
                <w:b/>
                <w:bCs/>
                <w:color w:val="000000"/>
                <w:sz w:val="18"/>
                <w:szCs w:val="18"/>
              </w:rPr>
            </w:pPr>
            <w:r>
              <w:rPr>
                <w:rFonts w:hint="eastAsia" w:ascii="宋体" w:hAnsi="宋体" w:eastAsia="宋体" w:cs="宋体"/>
                <w:b/>
                <w:bCs/>
                <w:color w:val="000000"/>
                <w:sz w:val="18"/>
                <w:szCs w:val="18"/>
              </w:rPr>
              <w:t>得分</w:t>
            </w:r>
          </w:p>
        </w:tc>
      </w:tr>
      <w:tr w14:paraId="192B709C">
        <w:tblPrEx>
          <w:tblCellMar>
            <w:top w:w="0" w:type="dxa"/>
            <w:left w:w="108" w:type="dxa"/>
            <w:bottom w:w="0" w:type="dxa"/>
            <w:right w:w="108" w:type="dxa"/>
          </w:tblCellMar>
        </w:tblPrEx>
        <w:trPr>
          <w:cantSplit/>
          <w:trHeight w:val="500" w:hRule="atLeast"/>
        </w:trPr>
        <w:tc>
          <w:tcPr>
            <w:tcW w:w="1305" w:type="dxa"/>
            <w:gridSpan w:val="2"/>
            <w:vMerge w:val="continue"/>
            <w:tcBorders>
              <w:top w:val="single" w:color="auto" w:sz="4" w:space="0"/>
              <w:left w:val="single" w:color="auto" w:sz="4" w:space="0"/>
              <w:bottom w:val="single" w:color="auto" w:sz="4" w:space="0"/>
              <w:right w:val="single" w:color="auto" w:sz="4" w:space="0"/>
            </w:tcBorders>
            <w:vAlign w:val="center"/>
          </w:tcPr>
          <w:p w14:paraId="1A141FDD">
            <w:pPr>
              <w:rPr>
                <w:rFonts w:hint="eastAsia" w:ascii="宋体" w:hAnsi="宋体" w:eastAsia="宋体" w:cs="宋体"/>
                <w:color w:val="000000"/>
                <w:sz w:val="18"/>
                <w:szCs w:val="18"/>
              </w:rPr>
            </w:pPr>
          </w:p>
        </w:tc>
        <w:tc>
          <w:tcPr>
            <w:tcW w:w="1336" w:type="dxa"/>
            <w:gridSpan w:val="2"/>
            <w:tcBorders>
              <w:top w:val="single" w:color="auto" w:sz="4" w:space="0"/>
              <w:left w:val="nil"/>
              <w:bottom w:val="single" w:color="auto" w:sz="4" w:space="0"/>
              <w:right w:val="single" w:color="auto" w:sz="4" w:space="0"/>
            </w:tcBorders>
            <w:vAlign w:val="center"/>
          </w:tcPr>
          <w:p w14:paraId="11171A29">
            <w:pPr>
              <w:jc w:val="center"/>
              <w:rPr>
                <w:rFonts w:hint="eastAsia" w:ascii="宋体" w:hAnsi="宋体" w:eastAsia="宋体" w:cs="宋体"/>
                <w:b/>
                <w:bCs/>
                <w:color w:val="000000"/>
                <w:sz w:val="18"/>
                <w:szCs w:val="18"/>
              </w:rPr>
            </w:pPr>
            <w:r>
              <w:rPr>
                <w:rFonts w:hint="eastAsia" w:ascii="宋体" w:hAnsi="宋体" w:eastAsia="宋体" w:cs="宋体"/>
                <w:b/>
                <w:bCs/>
                <w:color w:val="000000"/>
                <w:sz w:val="18"/>
                <w:szCs w:val="18"/>
              </w:rPr>
              <w:t>年度资金总额</w:t>
            </w:r>
          </w:p>
        </w:tc>
        <w:tc>
          <w:tcPr>
            <w:tcW w:w="1239" w:type="dxa"/>
            <w:tcBorders>
              <w:top w:val="single" w:color="auto" w:sz="4" w:space="0"/>
              <w:left w:val="nil"/>
              <w:bottom w:val="single" w:color="auto" w:sz="4" w:space="0"/>
              <w:right w:val="single" w:color="000000" w:sz="4" w:space="0"/>
            </w:tcBorders>
            <w:noWrap/>
            <w:vAlign w:val="center"/>
          </w:tcPr>
          <w:p w14:paraId="3E534533">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173.00</w:t>
            </w:r>
          </w:p>
        </w:tc>
        <w:tc>
          <w:tcPr>
            <w:tcW w:w="1125" w:type="dxa"/>
            <w:tcBorders>
              <w:top w:val="nil"/>
              <w:left w:val="nil"/>
              <w:bottom w:val="single" w:color="auto" w:sz="4" w:space="0"/>
              <w:right w:val="single" w:color="auto" w:sz="4" w:space="0"/>
            </w:tcBorders>
            <w:noWrap/>
            <w:vAlign w:val="center"/>
          </w:tcPr>
          <w:p w14:paraId="1B92991C">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173.00</w:t>
            </w:r>
          </w:p>
        </w:tc>
        <w:tc>
          <w:tcPr>
            <w:tcW w:w="1275" w:type="dxa"/>
            <w:gridSpan w:val="2"/>
            <w:tcBorders>
              <w:top w:val="single" w:color="auto" w:sz="4" w:space="0"/>
              <w:left w:val="nil"/>
              <w:bottom w:val="single" w:color="auto" w:sz="4" w:space="0"/>
              <w:right w:val="single" w:color="000000" w:sz="4" w:space="0"/>
            </w:tcBorders>
            <w:noWrap/>
            <w:vAlign w:val="center"/>
          </w:tcPr>
          <w:p w14:paraId="62088A02">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173.00</w:t>
            </w:r>
          </w:p>
        </w:tc>
        <w:tc>
          <w:tcPr>
            <w:tcW w:w="1134" w:type="dxa"/>
            <w:gridSpan w:val="2"/>
            <w:tcBorders>
              <w:top w:val="single" w:color="auto" w:sz="4" w:space="0"/>
              <w:left w:val="nil"/>
              <w:bottom w:val="single" w:color="auto" w:sz="4" w:space="0"/>
              <w:right w:val="single" w:color="auto" w:sz="4" w:space="0"/>
            </w:tcBorders>
            <w:vAlign w:val="center"/>
          </w:tcPr>
          <w:p w14:paraId="7CA34976">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10</w:t>
            </w:r>
          </w:p>
        </w:tc>
        <w:tc>
          <w:tcPr>
            <w:tcW w:w="993" w:type="dxa"/>
            <w:gridSpan w:val="2"/>
            <w:tcBorders>
              <w:top w:val="single" w:color="auto" w:sz="4" w:space="0"/>
              <w:left w:val="nil"/>
              <w:bottom w:val="single" w:color="auto" w:sz="4" w:space="0"/>
              <w:right w:val="single" w:color="auto" w:sz="4" w:space="0"/>
            </w:tcBorders>
            <w:vAlign w:val="center"/>
          </w:tcPr>
          <w:p w14:paraId="1F4632CC">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100.00%</w:t>
            </w:r>
          </w:p>
        </w:tc>
        <w:tc>
          <w:tcPr>
            <w:tcW w:w="1275" w:type="dxa"/>
            <w:tcBorders>
              <w:top w:val="nil"/>
              <w:left w:val="nil"/>
              <w:bottom w:val="single" w:color="auto" w:sz="4" w:space="0"/>
              <w:right w:val="single" w:color="auto" w:sz="4" w:space="0"/>
            </w:tcBorders>
            <w:vAlign w:val="center"/>
          </w:tcPr>
          <w:p w14:paraId="63178A8F">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10.00分</w:t>
            </w:r>
          </w:p>
        </w:tc>
      </w:tr>
      <w:tr w14:paraId="5B709B92">
        <w:tblPrEx>
          <w:tblCellMar>
            <w:top w:w="0" w:type="dxa"/>
            <w:left w:w="108" w:type="dxa"/>
            <w:bottom w:w="0" w:type="dxa"/>
            <w:right w:w="108" w:type="dxa"/>
          </w:tblCellMar>
        </w:tblPrEx>
        <w:trPr>
          <w:cantSplit/>
          <w:trHeight w:val="500" w:hRule="atLeast"/>
        </w:trPr>
        <w:tc>
          <w:tcPr>
            <w:tcW w:w="1305" w:type="dxa"/>
            <w:gridSpan w:val="2"/>
            <w:vMerge w:val="continue"/>
            <w:tcBorders>
              <w:top w:val="single" w:color="auto" w:sz="4" w:space="0"/>
              <w:left w:val="single" w:color="auto" w:sz="4" w:space="0"/>
              <w:bottom w:val="single" w:color="auto" w:sz="4" w:space="0"/>
              <w:right w:val="single" w:color="auto" w:sz="4" w:space="0"/>
            </w:tcBorders>
            <w:vAlign w:val="center"/>
          </w:tcPr>
          <w:p w14:paraId="328BD04A">
            <w:pPr>
              <w:rPr>
                <w:rFonts w:hint="eastAsia" w:ascii="宋体" w:hAnsi="宋体" w:eastAsia="宋体" w:cs="宋体"/>
                <w:color w:val="000000"/>
                <w:sz w:val="18"/>
                <w:szCs w:val="18"/>
              </w:rPr>
            </w:pPr>
          </w:p>
        </w:tc>
        <w:tc>
          <w:tcPr>
            <w:tcW w:w="1336" w:type="dxa"/>
            <w:gridSpan w:val="2"/>
            <w:tcBorders>
              <w:top w:val="single" w:color="auto" w:sz="4" w:space="0"/>
              <w:left w:val="nil"/>
              <w:bottom w:val="single" w:color="auto" w:sz="4" w:space="0"/>
              <w:right w:val="single" w:color="auto" w:sz="4" w:space="0"/>
            </w:tcBorders>
            <w:vAlign w:val="center"/>
          </w:tcPr>
          <w:p w14:paraId="38C26287">
            <w:pPr>
              <w:jc w:val="center"/>
              <w:rPr>
                <w:rFonts w:hint="eastAsia" w:ascii="宋体" w:hAnsi="宋体" w:eastAsia="宋体" w:cs="宋体"/>
                <w:b/>
                <w:bCs/>
                <w:color w:val="000000"/>
                <w:sz w:val="18"/>
                <w:szCs w:val="18"/>
              </w:rPr>
            </w:pPr>
            <w:r>
              <w:rPr>
                <w:rFonts w:hint="eastAsia" w:ascii="宋体" w:hAnsi="宋体" w:eastAsia="宋体" w:cs="宋体"/>
                <w:b/>
                <w:bCs/>
                <w:color w:val="000000"/>
                <w:sz w:val="18"/>
                <w:szCs w:val="18"/>
              </w:rPr>
              <w:t>其中：当年财政拨款</w:t>
            </w:r>
          </w:p>
        </w:tc>
        <w:tc>
          <w:tcPr>
            <w:tcW w:w="1239" w:type="dxa"/>
            <w:tcBorders>
              <w:top w:val="single" w:color="auto" w:sz="4" w:space="0"/>
              <w:left w:val="nil"/>
              <w:bottom w:val="single" w:color="auto" w:sz="4" w:space="0"/>
              <w:right w:val="single" w:color="000000" w:sz="4" w:space="0"/>
            </w:tcBorders>
            <w:noWrap/>
            <w:vAlign w:val="center"/>
          </w:tcPr>
          <w:p w14:paraId="144A9F00">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173.00</w:t>
            </w:r>
          </w:p>
        </w:tc>
        <w:tc>
          <w:tcPr>
            <w:tcW w:w="1125" w:type="dxa"/>
            <w:tcBorders>
              <w:top w:val="nil"/>
              <w:left w:val="nil"/>
              <w:bottom w:val="single" w:color="auto" w:sz="4" w:space="0"/>
              <w:right w:val="single" w:color="auto" w:sz="4" w:space="0"/>
            </w:tcBorders>
            <w:noWrap/>
            <w:vAlign w:val="center"/>
          </w:tcPr>
          <w:p w14:paraId="0DC28132">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173.00</w:t>
            </w:r>
          </w:p>
        </w:tc>
        <w:tc>
          <w:tcPr>
            <w:tcW w:w="1275" w:type="dxa"/>
            <w:gridSpan w:val="2"/>
            <w:tcBorders>
              <w:top w:val="single" w:color="auto" w:sz="4" w:space="0"/>
              <w:left w:val="nil"/>
              <w:bottom w:val="single" w:color="auto" w:sz="4" w:space="0"/>
              <w:right w:val="single" w:color="000000" w:sz="4" w:space="0"/>
            </w:tcBorders>
            <w:noWrap/>
            <w:vAlign w:val="center"/>
          </w:tcPr>
          <w:p w14:paraId="79E3057F">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173.00</w:t>
            </w:r>
          </w:p>
        </w:tc>
        <w:tc>
          <w:tcPr>
            <w:tcW w:w="1134" w:type="dxa"/>
            <w:gridSpan w:val="2"/>
            <w:tcBorders>
              <w:top w:val="single" w:color="auto" w:sz="4" w:space="0"/>
              <w:left w:val="nil"/>
              <w:bottom w:val="single" w:color="auto" w:sz="4" w:space="0"/>
              <w:right w:val="single" w:color="auto" w:sz="4" w:space="0"/>
            </w:tcBorders>
            <w:vAlign w:val="center"/>
          </w:tcPr>
          <w:p w14:paraId="1556CB08">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993" w:type="dxa"/>
            <w:gridSpan w:val="2"/>
            <w:tcBorders>
              <w:top w:val="single" w:color="auto" w:sz="4" w:space="0"/>
              <w:left w:val="nil"/>
              <w:bottom w:val="single" w:color="auto" w:sz="4" w:space="0"/>
              <w:right w:val="single" w:color="auto" w:sz="4" w:space="0"/>
            </w:tcBorders>
            <w:vAlign w:val="center"/>
          </w:tcPr>
          <w:p w14:paraId="3DB7A8FB">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1275" w:type="dxa"/>
            <w:tcBorders>
              <w:top w:val="nil"/>
              <w:left w:val="nil"/>
              <w:bottom w:val="single" w:color="auto" w:sz="4" w:space="0"/>
              <w:right w:val="single" w:color="auto" w:sz="4" w:space="0"/>
            </w:tcBorders>
            <w:vAlign w:val="center"/>
          </w:tcPr>
          <w:p w14:paraId="49DA6C11">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r>
      <w:tr w14:paraId="24DD9DF6">
        <w:tblPrEx>
          <w:tblCellMar>
            <w:top w:w="0" w:type="dxa"/>
            <w:left w:w="108" w:type="dxa"/>
            <w:bottom w:w="0" w:type="dxa"/>
            <w:right w:w="108" w:type="dxa"/>
          </w:tblCellMar>
        </w:tblPrEx>
        <w:trPr>
          <w:cantSplit/>
          <w:trHeight w:val="500" w:hRule="atLeast"/>
        </w:trPr>
        <w:tc>
          <w:tcPr>
            <w:tcW w:w="1305" w:type="dxa"/>
            <w:gridSpan w:val="2"/>
            <w:vMerge w:val="continue"/>
            <w:tcBorders>
              <w:top w:val="single" w:color="auto" w:sz="4" w:space="0"/>
              <w:left w:val="single" w:color="auto" w:sz="4" w:space="0"/>
              <w:bottom w:val="single" w:color="auto" w:sz="4" w:space="0"/>
              <w:right w:val="single" w:color="auto" w:sz="4" w:space="0"/>
            </w:tcBorders>
            <w:vAlign w:val="center"/>
          </w:tcPr>
          <w:p w14:paraId="0A0D1040">
            <w:pPr>
              <w:rPr>
                <w:rFonts w:hint="eastAsia" w:ascii="宋体" w:hAnsi="宋体" w:eastAsia="宋体" w:cs="宋体"/>
                <w:color w:val="000000"/>
                <w:sz w:val="18"/>
                <w:szCs w:val="18"/>
              </w:rPr>
            </w:pPr>
          </w:p>
        </w:tc>
        <w:tc>
          <w:tcPr>
            <w:tcW w:w="1336" w:type="dxa"/>
            <w:gridSpan w:val="2"/>
            <w:tcBorders>
              <w:top w:val="single" w:color="auto" w:sz="4" w:space="0"/>
              <w:left w:val="nil"/>
              <w:bottom w:val="single" w:color="auto" w:sz="4" w:space="0"/>
              <w:right w:val="single" w:color="auto" w:sz="4" w:space="0"/>
            </w:tcBorders>
            <w:vAlign w:val="center"/>
          </w:tcPr>
          <w:p w14:paraId="3235236B">
            <w:pPr>
              <w:jc w:val="center"/>
              <w:rPr>
                <w:rFonts w:hint="eastAsia" w:ascii="宋体" w:hAnsi="宋体" w:eastAsia="宋体" w:cs="宋体"/>
                <w:b/>
                <w:bCs/>
                <w:color w:val="000000"/>
                <w:sz w:val="18"/>
                <w:szCs w:val="18"/>
              </w:rPr>
            </w:pPr>
            <w:r>
              <w:rPr>
                <w:rFonts w:hint="eastAsia" w:ascii="宋体" w:hAnsi="宋体" w:eastAsia="宋体" w:cs="宋体"/>
                <w:b/>
                <w:bCs/>
                <w:color w:val="000000"/>
                <w:sz w:val="18"/>
                <w:szCs w:val="18"/>
              </w:rPr>
              <w:t>其他资金</w:t>
            </w:r>
          </w:p>
        </w:tc>
        <w:tc>
          <w:tcPr>
            <w:tcW w:w="1239" w:type="dxa"/>
            <w:tcBorders>
              <w:top w:val="single" w:color="auto" w:sz="4" w:space="0"/>
              <w:left w:val="nil"/>
              <w:bottom w:val="single" w:color="auto" w:sz="4" w:space="0"/>
              <w:right w:val="single" w:color="000000" w:sz="4" w:space="0"/>
            </w:tcBorders>
            <w:noWrap/>
            <w:vAlign w:val="center"/>
          </w:tcPr>
          <w:p w14:paraId="3B9C943E">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0.00</w:t>
            </w:r>
          </w:p>
        </w:tc>
        <w:tc>
          <w:tcPr>
            <w:tcW w:w="1125" w:type="dxa"/>
            <w:tcBorders>
              <w:top w:val="nil"/>
              <w:left w:val="nil"/>
              <w:bottom w:val="single" w:color="auto" w:sz="4" w:space="0"/>
              <w:right w:val="single" w:color="auto" w:sz="4" w:space="0"/>
            </w:tcBorders>
            <w:noWrap/>
            <w:vAlign w:val="center"/>
          </w:tcPr>
          <w:p w14:paraId="00EFD63C">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0.00</w:t>
            </w:r>
          </w:p>
        </w:tc>
        <w:tc>
          <w:tcPr>
            <w:tcW w:w="1275" w:type="dxa"/>
            <w:gridSpan w:val="2"/>
            <w:tcBorders>
              <w:top w:val="single" w:color="auto" w:sz="4" w:space="0"/>
              <w:left w:val="nil"/>
              <w:bottom w:val="single" w:color="auto" w:sz="4" w:space="0"/>
              <w:right w:val="single" w:color="000000" w:sz="4" w:space="0"/>
            </w:tcBorders>
            <w:noWrap/>
            <w:vAlign w:val="center"/>
          </w:tcPr>
          <w:p w14:paraId="0BFA68C2">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0.00</w:t>
            </w:r>
          </w:p>
        </w:tc>
        <w:tc>
          <w:tcPr>
            <w:tcW w:w="1134" w:type="dxa"/>
            <w:gridSpan w:val="2"/>
            <w:tcBorders>
              <w:top w:val="single" w:color="auto" w:sz="4" w:space="0"/>
              <w:left w:val="nil"/>
              <w:bottom w:val="single" w:color="auto" w:sz="4" w:space="0"/>
              <w:right w:val="single" w:color="auto" w:sz="4" w:space="0"/>
            </w:tcBorders>
            <w:vAlign w:val="center"/>
          </w:tcPr>
          <w:p w14:paraId="20918D5B">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993" w:type="dxa"/>
            <w:gridSpan w:val="2"/>
            <w:tcBorders>
              <w:top w:val="single" w:color="auto" w:sz="4" w:space="0"/>
              <w:left w:val="nil"/>
              <w:bottom w:val="single" w:color="auto" w:sz="4" w:space="0"/>
              <w:right w:val="single" w:color="auto" w:sz="4" w:space="0"/>
            </w:tcBorders>
            <w:vAlign w:val="center"/>
          </w:tcPr>
          <w:p w14:paraId="0AE8A7DA">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1275" w:type="dxa"/>
            <w:tcBorders>
              <w:top w:val="nil"/>
              <w:left w:val="nil"/>
              <w:bottom w:val="single" w:color="auto" w:sz="4" w:space="0"/>
              <w:right w:val="single" w:color="auto" w:sz="4" w:space="0"/>
            </w:tcBorders>
            <w:vAlign w:val="center"/>
          </w:tcPr>
          <w:p w14:paraId="1A7C127A">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r>
      <w:tr w14:paraId="73217ECF">
        <w:tblPrEx>
          <w:tblCellMar>
            <w:top w:w="0" w:type="dxa"/>
            <w:left w:w="108" w:type="dxa"/>
            <w:bottom w:w="0" w:type="dxa"/>
            <w:right w:w="108" w:type="dxa"/>
          </w:tblCellMar>
        </w:tblPrEx>
        <w:trPr>
          <w:cantSplit/>
          <w:trHeight w:val="500" w:hRule="atLeast"/>
        </w:trPr>
        <w:tc>
          <w:tcPr>
            <w:tcW w:w="598" w:type="dxa"/>
            <w:vMerge w:val="restart"/>
            <w:tcBorders>
              <w:top w:val="nil"/>
              <w:left w:val="single" w:color="auto" w:sz="4" w:space="0"/>
              <w:bottom w:val="single" w:color="auto" w:sz="4" w:space="0"/>
              <w:right w:val="single" w:color="auto" w:sz="4" w:space="0"/>
            </w:tcBorders>
            <w:vAlign w:val="center"/>
          </w:tcPr>
          <w:p w14:paraId="6501BB12">
            <w:pPr>
              <w:jc w:val="center"/>
              <w:rPr>
                <w:rFonts w:hint="eastAsia" w:ascii="宋体" w:hAnsi="宋体" w:eastAsia="宋体" w:cs="宋体"/>
                <w:b/>
                <w:bCs/>
                <w:color w:val="000000"/>
                <w:sz w:val="18"/>
                <w:szCs w:val="18"/>
              </w:rPr>
            </w:pPr>
            <w:r>
              <w:rPr>
                <w:rFonts w:hint="eastAsia" w:ascii="宋体" w:hAnsi="宋体" w:eastAsia="宋体" w:cs="宋体"/>
                <w:b/>
                <w:bCs/>
                <w:color w:val="000000"/>
                <w:sz w:val="18"/>
                <w:szCs w:val="18"/>
              </w:rPr>
              <w:t>年度总体目标</w:t>
            </w:r>
          </w:p>
        </w:tc>
        <w:tc>
          <w:tcPr>
            <w:tcW w:w="4407" w:type="dxa"/>
            <w:gridSpan w:val="5"/>
            <w:tcBorders>
              <w:top w:val="single" w:color="auto" w:sz="4" w:space="0"/>
              <w:left w:val="nil"/>
              <w:bottom w:val="single" w:color="auto" w:sz="4" w:space="0"/>
              <w:right w:val="single" w:color="auto" w:sz="4" w:space="0"/>
            </w:tcBorders>
            <w:vAlign w:val="center"/>
          </w:tcPr>
          <w:p w14:paraId="0E729BCA">
            <w:pPr>
              <w:jc w:val="center"/>
              <w:rPr>
                <w:rFonts w:hint="eastAsia" w:ascii="宋体" w:hAnsi="宋体" w:eastAsia="宋体" w:cs="宋体"/>
                <w:b/>
                <w:bCs/>
                <w:color w:val="000000"/>
                <w:sz w:val="18"/>
                <w:szCs w:val="18"/>
              </w:rPr>
            </w:pPr>
            <w:r>
              <w:rPr>
                <w:rFonts w:hint="eastAsia" w:ascii="宋体" w:hAnsi="宋体" w:eastAsia="宋体" w:cs="宋体"/>
                <w:b/>
                <w:bCs/>
                <w:color w:val="000000"/>
                <w:sz w:val="18"/>
                <w:szCs w:val="18"/>
              </w:rPr>
              <w:t>预期目标</w:t>
            </w:r>
          </w:p>
        </w:tc>
        <w:tc>
          <w:tcPr>
            <w:tcW w:w="4677" w:type="dxa"/>
            <w:gridSpan w:val="7"/>
            <w:tcBorders>
              <w:top w:val="single" w:color="auto" w:sz="4" w:space="0"/>
              <w:left w:val="nil"/>
              <w:bottom w:val="single" w:color="auto" w:sz="4" w:space="0"/>
              <w:right w:val="single" w:color="auto" w:sz="4" w:space="0"/>
            </w:tcBorders>
            <w:vAlign w:val="center"/>
          </w:tcPr>
          <w:p w14:paraId="5DCF41F0">
            <w:pPr>
              <w:jc w:val="center"/>
              <w:rPr>
                <w:rFonts w:hint="eastAsia" w:ascii="宋体" w:hAnsi="宋体" w:eastAsia="宋体" w:cs="宋体"/>
                <w:b/>
                <w:bCs/>
                <w:color w:val="000000"/>
                <w:sz w:val="18"/>
                <w:szCs w:val="18"/>
              </w:rPr>
            </w:pPr>
            <w:r>
              <w:rPr>
                <w:rFonts w:hint="eastAsia" w:ascii="宋体" w:hAnsi="宋体" w:eastAsia="宋体" w:cs="宋体"/>
                <w:b/>
                <w:bCs/>
                <w:color w:val="000000"/>
                <w:sz w:val="18"/>
                <w:szCs w:val="18"/>
              </w:rPr>
              <w:t>实际完成情况</w:t>
            </w:r>
          </w:p>
        </w:tc>
      </w:tr>
      <w:tr w14:paraId="278D39DA">
        <w:tblPrEx>
          <w:tblCellMar>
            <w:top w:w="0" w:type="dxa"/>
            <w:left w:w="108" w:type="dxa"/>
            <w:bottom w:w="0" w:type="dxa"/>
            <w:right w:w="108" w:type="dxa"/>
          </w:tblCellMar>
        </w:tblPrEx>
        <w:trPr>
          <w:cantSplit/>
          <w:trHeight w:val="703" w:hRule="atLeast"/>
        </w:trPr>
        <w:tc>
          <w:tcPr>
            <w:tcW w:w="598" w:type="dxa"/>
            <w:vMerge w:val="continue"/>
            <w:tcBorders>
              <w:top w:val="nil"/>
              <w:left w:val="single" w:color="auto" w:sz="4" w:space="0"/>
              <w:bottom w:val="single" w:color="auto" w:sz="4" w:space="0"/>
              <w:right w:val="single" w:color="auto" w:sz="4" w:space="0"/>
            </w:tcBorders>
            <w:vAlign w:val="center"/>
          </w:tcPr>
          <w:p w14:paraId="670AB73E">
            <w:pPr>
              <w:rPr>
                <w:rFonts w:hint="eastAsia" w:ascii="宋体" w:hAnsi="宋体" w:eastAsia="宋体" w:cs="宋体"/>
                <w:color w:val="000000"/>
                <w:sz w:val="18"/>
                <w:szCs w:val="18"/>
              </w:rPr>
            </w:pPr>
          </w:p>
        </w:tc>
        <w:tc>
          <w:tcPr>
            <w:tcW w:w="4407" w:type="dxa"/>
            <w:gridSpan w:val="5"/>
            <w:tcBorders>
              <w:top w:val="single" w:color="auto" w:sz="4" w:space="0"/>
              <w:left w:val="nil"/>
              <w:bottom w:val="single" w:color="auto" w:sz="4" w:space="0"/>
              <w:right w:val="single" w:color="000000" w:sz="4" w:space="0"/>
            </w:tcBorders>
          </w:tcPr>
          <w:p w14:paraId="2124C308">
            <w:pPr>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保障全区视联网及监控视频链路正常运行，确保辖区安全稳定。</w:t>
            </w:r>
          </w:p>
        </w:tc>
        <w:tc>
          <w:tcPr>
            <w:tcW w:w="4677" w:type="dxa"/>
            <w:gridSpan w:val="7"/>
            <w:tcBorders>
              <w:top w:val="single" w:color="auto" w:sz="4" w:space="0"/>
              <w:left w:val="nil"/>
              <w:bottom w:val="single" w:color="auto" w:sz="4" w:space="0"/>
              <w:right w:val="single" w:color="000000" w:sz="4" w:space="0"/>
            </w:tcBorders>
          </w:tcPr>
          <w:p w14:paraId="1A5AC6E7">
            <w:pPr>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截止2024年12月31日，已完成支付中国电信股份有限公司达坂城分局链路服务费尾款173万，保障了全区视联网及监控视频链路正常运行，确保辖区安全稳定。</w:t>
            </w:r>
          </w:p>
        </w:tc>
      </w:tr>
      <w:tr w14:paraId="10A8CA32">
        <w:tblPrEx>
          <w:tblCellMar>
            <w:top w:w="0" w:type="dxa"/>
            <w:left w:w="108" w:type="dxa"/>
            <w:bottom w:w="0" w:type="dxa"/>
            <w:right w:w="108" w:type="dxa"/>
          </w:tblCellMar>
        </w:tblPrEx>
        <w:trPr>
          <w:cantSplit/>
          <w:trHeight w:val="543" w:hRule="atLeast"/>
        </w:trPr>
        <w:tc>
          <w:tcPr>
            <w:tcW w:w="598" w:type="dxa"/>
            <w:vMerge w:val="restart"/>
            <w:tcBorders>
              <w:top w:val="nil"/>
              <w:left w:val="single" w:color="auto" w:sz="4" w:space="0"/>
              <w:bottom w:val="single" w:color="auto" w:sz="4" w:space="0"/>
              <w:right w:val="single" w:color="auto" w:sz="4" w:space="0"/>
            </w:tcBorders>
            <w:vAlign w:val="center"/>
          </w:tcPr>
          <w:p w14:paraId="6FF120EE">
            <w:pPr>
              <w:jc w:val="center"/>
              <w:rPr>
                <w:rFonts w:hint="eastAsia" w:ascii="宋体" w:hAnsi="宋体" w:eastAsia="宋体" w:cs="宋体"/>
                <w:color w:val="000000"/>
                <w:sz w:val="18"/>
                <w:szCs w:val="18"/>
                <w:lang w:eastAsia="zh-CN"/>
              </w:rPr>
            </w:pPr>
          </w:p>
        </w:tc>
        <w:tc>
          <w:tcPr>
            <w:tcW w:w="707" w:type="dxa"/>
            <w:vMerge w:val="restart"/>
            <w:tcBorders>
              <w:top w:val="nil"/>
              <w:left w:val="single" w:color="auto" w:sz="4" w:space="0"/>
              <w:bottom w:val="single" w:color="auto" w:sz="4" w:space="0"/>
              <w:right w:val="single" w:color="auto" w:sz="4" w:space="0"/>
            </w:tcBorders>
            <w:vAlign w:val="center"/>
          </w:tcPr>
          <w:p w14:paraId="10894845">
            <w:pPr>
              <w:jc w:val="center"/>
              <w:rPr>
                <w:rFonts w:hint="eastAsia" w:ascii="宋体" w:hAnsi="宋体" w:eastAsia="宋体" w:cs="宋体"/>
                <w:b/>
                <w:bCs/>
                <w:color w:val="000000"/>
                <w:sz w:val="18"/>
                <w:szCs w:val="18"/>
              </w:rPr>
            </w:pPr>
            <w:r>
              <w:rPr>
                <w:rFonts w:hint="eastAsia" w:ascii="宋体" w:hAnsi="宋体" w:eastAsia="宋体" w:cs="宋体"/>
                <w:b/>
                <w:bCs/>
                <w:color w:val="000000"/>
                <w:sz w:val="18"/>
                <w:szCs w:val="18"/>
              </w:rPr>
              <w:t>一级指标</w:t>
            </w:r>
          </w:p>
        </w:tc>
        <w:tc>
          <w:tcPr>
            <w:tcW w:w="718" w:type="dxa"/>
            <w:vMerge w:val="restart"/>
            <w:tcBorders>
              <w:top w:val="nil"/>
              <w:left w:val="single" w:color="auto" w:sz="4" w:space="0"/>
              <w:bottom w:val="single" w:color="auto" w:sz="4" w:space="0"/>
              <w:right w:val="single" w:color="auto" w:sz="4" w:space="0"/>
            </w:tcBorders>
            <w:vAlign w:val="center"/>
          </w:tcPr>
          <w:p w14:paraId="7DA631A4">
            <w:pPr>
              <w:jc w:val="center"/>
              <w:rPr>
                <w:rFonts w:hint="eastAsia" w:ascii="宋体" w:hAnsi="宋体" w:eastAsia="宋体" w:cs="宋体"/>
                <w:b/>
                <w:bCs/>
                <w:color w:val="000000"/>
                <w:sz w:val="18"/>
                <w:szCs w:val="18"/>
              </w:rPr>
            </w:pPr>
            <w:r>
              <w:rPr>
                <w:rFonts w:hint="eastAsia" w:ascii="宋体" w:hAnsi="宋体" w:eastAsia="宋体" w:cs="宋体"/>
                <w:b/>
                <w:bCs/>
                <w:color w:val="000000"/>
                <w:sz w:val="18"/>
                <w:szCs w:val="18"/>
              </w:rPr>
              <w:t>二级指标</w:t>
            </w:r>
          </w:p>
        </w:tc>
        <w:tc>
          <w:tcPr>
            <w:tcW w:w="1857" w:type="dxa"/>
            <w:gridSpan w:val="2"/>
            <w:vMerge w:val="restart"/>
            <w:tcBorders>
              <w:top w:val="single" w:color="auto" w:sz="4" w:space="0"/>
              <w:left w:val="single" w:color="auto" w:sz="4" w:space="0"/>
              <w:bottom w:val="single" w:color="auto" w:sz="4" w:space="0"/>
              <w:right w:val="single" w:color="auto" w:sz="4" w:space="0"/>
            </w:tcBorders>
            <w:vAlign w:val="center"/>
          </w:tcPr>
          <w:p w14:paraId="6BCB51B8">
            <w:pPr>
              <w:jc w:val="center"/>
              <w:rPr>
                <w:rFonts w:hint="eastAsia" w:ascii="宋体" w:hAnsi="宋体" w:eastAsia="宋体" w:cs="宋体"/>
                <w:b/>
                <w:bCs/>
                <w:color w:val="000000"/>
                <w:sz w:val="18"/>
                <w:szCs w:val="18"/>
              </w:rPr>
            </w:pPr>
            <w:r>
              <w:rPr>
                <w:rFonts w:hint="eastAsia" w:ascii="宋体" w:hAnsi="宋体" w:eastAsia="宋体" w:cs="宋体"/>
                <w:b/>
                <w:bCs/>
                <w:color w:val="000000"/>
                <w:sz w:val="18"/>
                <w:szCs w:val="18"/>
              </w:rPr>
              <w:t>三级指标</w:t>
            </w:r>
          </w:p>
        </w:tc>
        <w:tc>
          <w:tcPr>
            <w:tcW w:w="1125" w:type="dxa"/>
            <w:vMerge w:val="restart"/>
            <w:tcBorders>
              <w:top w:val="nil"/>
              <w:left w:val="single" w:color="auto" w:sz="4" w:space="0"/>
              <w:bottom w:val="single" w:color="auto" w:sz="4" w:space="0"/>
              <w:right w:val="single" w:color="auto" w:sz="4" w:space="0"/>
            </w:tcBorders>
            <w:vAlign w:val="center"/>
          </w:tcPr>
          <w:p w14:paraId="720AE478">
            <w:pPr>
              <w:jc w:val="center"/>
              <w:rPr>
                <w:rFonts w:hint="eastAsia" w:ascii="宋体" w:hAnsi="宋体" w:eastAsia="宋体" w:cs="宋体"/>
                <w:b/>
                <w:bCs/>
                <w:color w:val="000000"/>
                <w:sz w:val="18"/>
                <w:szCs w:val="18"/>
              </w:rPr>
            </w:pPr>
            <w:r>
              <w:rPr>
                <w:rFonts w:hint="eastAsia" w:ascii="宋体" w:hAnsi="宋体" w:eastAsia="宋体" w:cs="宋体"/>
                <w:b/>
                <w:bCs/>
                <w:color w:val="000000"/>
                <w:sz w:val="18"/>
                <w:szCs w:val="18"/>
              </w:rPr>
              <w:t>年度指标值</w:t>
            </w:r>
          </w:p>
        </w:tc>
        <w:tc>
          <w:tcPr>
            <w:tcW w:w="1229" w:type="dxa"/>
            <w:vMerge w:val="restart"/>
            <w:tcBorders>
              <w:top w:val="nil"/>
              <w:left w:val="single" w:color="auto" w:sz="4" w:space="0"/>
              <w:bottom w:val="single" w:color="auto" w:sz="4" w:space="0"/>
              <w:right w:val="single" w:color="auto" w:sz="4" w:space="0"/>
            </w:tcBorders>
            <w:vAlign w:val="center"/>
          </w:tcPr>
          <w:p w14:paraId="26EBCDB3">
            <w:pPr>
              <w:jc w:val="center"/>
              <w:rPr>
                <w:rFonts w:hint="eastAsia" w:ascii="宋体" w:hAnsi="宋体" w:eastAsia="宋体" w:cs="宋体"/>
                <w:b/>
                <w:bCs/>
                <w:color w:val="000000"/>
                <w:sz w:val="18"/>
                <w:szCs w:val="18"/>
              </w:rPr>
            </w:pPr>
            <w:r>
              <w:rPr>
                <w:rFonts w:hint="eastAsia" w:ascii="宋体" w:hAnsi="宋体" w:eastAsia="宋体" w:cs="宋体"/>
                <w:b/>
                <w:bCs/>
                <w:color w:val="000000"/>
                <w:sz w:val="18"/>
                <w:szCs w:val="18"/>
              </w:rPr>
              <w:t>实际完成值</w:t>
            </w:r>
          </w:p>
        </w:tc>
        <w:tc>
          <w:tcPr>
            <w:tcW w:w="755" w:type="dxa"/>
            <w:gridSpan w:val="2"/>
            <w:vMerge w:val="restart"/>
            <w:tcBorders>
              <w:top w:val="single" w:color="auto" w:sz="4" w:space="0"/>
              <w:left w:val="single" w:color="auto" w:sz="4" w:space="0"/>
              <w:bottom w:val="single" w:color="auto" w:sz="4" w:space="0"/>
              <w:right w:val="single" w:color="auto" w:sz="4" w:space="0"/>
            </w:tcBorders>
            <w:vAlign w:val="center"/>
          </w:tcPr>
          <w:p w14:paraId="3F3F1A7A">
            <w:pPr>
              <w:jc w:val="center"/>
              <w:rPr>
                <w:rFonts w:hint="eastAsia" w:ascii="宋体" w:hAnsi="宋体" w:eastAsia="宋体" w:cs="宋体"/>
                <w:b/>
                <w:bCs/>
                <w:color w:val="000000"/>
                <w:sz w:val="18"/>
                <w:szCs w:val="18"/>
              </w:rPr>
            </w:pPr>
            <w:r>
              <w:rPr>
                <w:rFonts w:hint="eastAsia" w:ascii="宋体" w:hAnsi="宋体" w:eastAsia="宋体" w:cs="宋体"/>
                <w:b/>
                <w:bCs/>
                <w:color w:val="000000"/>
                <w:sz w:val="18"/>
                <w:szCs w:val="18"/>
              </w:rPr>
              <w:t>分值</w:t>
            </w:r>
          </w:p>
        </w:tc>
        <w:tc>
          <w:tcPr>
            <w:tcW w:w="709" w:type="dxa"/>
            <w:gridSpan w:val="2"/>
            <w:vMerge w:val="restart"/>
            <w:tcBorders>
              <w:top w:val="single" w:color="auto" w:sz="4" w:space="0"/>
              <w:left w:val="single" w:color="auto" w:sz="4" w:space="0"/>
              <w:bottom w:val="single" w:color="auto" w:sz="4" w:space="0"/>
              <w:right w:val="single" w:color="auto" w:sz="4" w:space="0"/>
            </w:tcBorders>
            <w:vAlign w:val="center"/>
          </w:tcPr>
          <w:p w14:paraId="72E79AFA">
            <w:pPr>
              <w:jc w:val="center"/>
              <w:rPr>
                <w:rFonts w:hint="eastAsia" w:ascii="宋体" w:hAnsi="宋体" w:eastAsia="宋体" w:cs="宋体"/>
                <w:b/>
                <w:bCs/>
                <w:color w:val="000000"/>
                <w:sz w:val="18"/>
                <w:szCs w:val="18"/>
              </w:rPr>
            </w:pPr>
            <w:r>
              <w:rPr>
                <w:rFonts w:hint="eastAsia" w:ascii="宋体" w:hAnsi="宋体" w:eastAsia="宋体" w:cs="宋体"/>
                <w:b/>
                <w:bCs/>
                <w:color w:val="000000"/>
                <w:sz w:val="18"/>
                <w:szCs w:val="18"/>
              </w:rPr>
              <w:t>得分</w:t>
            </w:r>
          </w:p>
        </w:tc>
        <w:tc>
          <w:tcPr>
            <w:tcW w:w="1984" w:type="dxa"/>
            <w:gridSpan w:val="2"/>
            <w:vMerge w:val="restart"/>
            <w:tcBorders>
              <w:top w:val="single" w:color="auto" w:sz="4" w:space="0"/>
              <w:left w:val="single" w:color="auto" w:sz="4" w:space="0"/>
              <w:bottom w:val="single" w:color="auto" w:sz="4" w:space="0"/>
              <w:right w:val="single" w:color="auto" w:sz="4" w:space="0"/>
            </w:tcBorders>
            <w:vAlign w:val="center"/>
          </w:tcPr>
          <w:p w14:paraId="3A314ECC">
            <w:pPr>
              <w:jc w:val="center"/>
              <w:rPr>
                <w:rFonts w:hint="eastAsia" w:ascii="宋体" w:hAnsi="宋体" w:eastAsia="宋体" w:cs="宋体"/>
                <w:b/>
                <w:bCs/>
                <w:color w:val="000000"/>
                <w:sz w:val="18"/>
                <w:szCs w:val="18"/>
                <w:lang w:eastAsia="zh-CN"/>
              </w:rPr>
            </w:pPr>
            <w:r>
              <w:rPr>
                <w:rFonts w:hint="eastAsia" w:ascii="宋体" w:hAnsi="宋体" w:eastAsia="宋体" w:cs="宋体"/>
                <w:b/>
                <w:bCs/>
                <w:color w:val="000000"/>
                <w:sz w:val="18"/>
                <w:szCs w:val="18"/>
                <w:lang w:eastAsia="zh-CN"/>
              </w:rPr>
              <w:t>偏差原因分析及改进措施</w:t>
            </w:r>
          </w:p>
        </w:tc>
      </w:tr>
      <w:tr w14:paraId="174F9F0E">
        <w:tblPrEx>
          <w:tblCellMar>
            <w:top w:w="0" w:type="dxa"/>
            <w:left w:w="108" w:type="dxa"/>
            <w:bottom w:w="0" w:type="dxa"/>
            <w:right w:w="108" w:type="dxa"/>
          </w:tblCellMar>
        </w:tblPrEx>
        <w:trPr>
          <w:cantSplit/>
          <w:trHeight w:val="543" w:hRule="atLeast"/>
        </w:trPr>
        <w:tc>
          <w:tcPr>
            <w:tcW w:w="598" w:type="dxa"/>
            <w:vMerge w:val="continue"/>
            <w:tcBorders>
              <w:top w:val="nil"/>
              <w:left w:val="single" w:color="auto" w:sz="4" w:space="0"/>
              <w:bottom w:val="single" w:color="auto" w:sz="4" w:space="0"/>
              <w:right w:val="single" w:color="auto" w:sz="4" w:space="0"/>
            </w:tcBorders>
            <w:vAlign w:val="center"/>
          </w:tcPr>
          <w:p w14:paraId="36618AB9">
            <w:pPr>
              <w:rPr>
                <w:rFonts w:hint="eastAsia" w:ascii="宋体" w:hAnsi="宋体" w:eastAsia="宋体" w:cs="宋体"/>
                <w:color w:val="000000"/>
                <w:sz w:val="18"/>
                <w:szCs w:val="18"/>
                <w:lang w:eastAsia="zh-CN"/>
              </w:rPr>
            </w:pPr>
          </w:p>
        </w:tc>
        <w:tc>
          <w:tcPr>
            <w:tcW w:w="707" w:type="dxa"/>
            <w:vMerge w:val="continue"/>
            <w:tcBorders>
              <w:top w:val="nil"/>
              <w:left w:val="single" w:color="auto" w:sz="4" w:space="0"/>
              <w:bottom w:val="single" w:color="auto" w:sz="4" w:space="0"/>
              <w:right w:val="single" w:color="auto" w:sz="4" w:space="0"/>
            </w:tcBorders>
            <w:vAlign w:val="center"/>
          </w:tcPr>
          <w:p w14:paraId="5713BBA3">
            <w:pPr>
              <w:rPr>
                <w:rFonts w:hint="eastAsia" w:ascii="宋体" w:hAnsi="宋体" w:eastAsia="宋体" w:cs="宋体"/>
                <w:color w:val="000000"/>
                <w:sz w:val="18"/>
                <w:szCs w:val="18"/>
                <w:lang w:eastAsia="zh-CN"/>
              </w:rPr>
            </w:pPr>
          </w:p>
        </w:tc>
        <w:tc>
          <w:tcPr>
            <w:tcW w:w="718" w:type="dxa"/>
            <w:vMerge w:val="continue"/>
            <w:tcBorders>
              <w:top w:val="nil"/>
              <w:left w:val="single" w:color="auto" w:sz="4" w:space="0"/>
              <w:bottom w:val="single" w:color="auto" w:sz="4" w:space="0"/>
              <w:right w:val="single" w:color="auto" w:sz="4" w:space="0"/>
            </w:tcBorders>
            <w:vAlign w:val="center"/>
          </w:tcPr>
          <w:p w14:paraId="2B1253A7">
            <w:pPr>
              <w:rPr>
                <w:rFonts w:hint="eastAsia" w:ascii="宋体" w:hAnsi="宋体" w:eastAsia="宋体" w:cs="宋体"/>
                <w:color w:val="000000"/>
                <w:sz w:val="18"/>
                <w:szCs w:val="18"/>
                <w:lang w:eastAsia="zh-CN"/>
              </w:rPr>
            </w:pPr>
          </w:p>
        </w:tc>
        <w:tc>
          <w:tcPr>
            <w:tcW w:w="1857" w:type="dxa"/>
            <w:gridSpan w:val="2"/>
            <w:vMerge w:val="continue"/>
            <w:tcBorders>
              <w:top w:val="single" w:color="auto" w:sz="4" w:space="0"/>
              <w:left w:val="single" w:color="auto" w:sz="4" w:space="0"/>
              <w:bottom w:val="single" w:color="auto" w:sz="4" w:space="0"/>
              <w:right w:val="single" w:color="auto" w:sz="4" w:space="0"/>
            </w:tcBorders>
            <w:vAlign w:val="center"/>
          </w:tcPr>
          <w:p w14:paraId="791FF5AC">
            <w:pPr>
              <w:rPr>
                <w:rFonts w:hint="eastAsia" w:ascii="宋体" w:hAnsi="宋体" w:eastAsia="宋体" w:cs="宋体"/>
                <w:color w:val="000000"/>
                <w:sz w:val="18"/>
                <w:szCs w:val="18"/>
                <w:lang w:eastAsia="zh-CN"/>
              </w:rPr>
            </w:pPr>
          </w:p>
        </w:tc>
        <w:tc>
          <w:tcPr>
            <w:tcW w:w="1125" w:type="dxa"/>
            <w:vMerge w:val="continue"/>
            <w:tcBorders>
              <w:top w:val="nil"/>
              <w:left w:val="single" w:color="auto" w:sz="4" w:space="0"/>
              <w:bottom w:val="single" w:color="auto" w:sz="4" w:space="0"/>
              <w:right w:val="single" w:color="auto" w:sz="4" w:space="0"/>
            </w:tcBorders>
            <w:vAlign w:val="center"/>
          </w:tcPr>
          <w:p w14:paraId="5A20B6AD">
            <w:pPr>
              <w:rPr>
                <w:rFonts w:hint="eastAsia" w:ascii="宋体" w:hAnsi="宋体" w:eastAsia="宋体" w:cs="宋体"/>
                <w:color w:val="000000"/>
                <w:sz w:val="18"/>
                <w:szCs w:val="18"/>
                <w:lang w:eastAsia="zh-CN"/>
              </w:rPr>
            </w:pPr>
          </w:p>
        </w:tc>
        <w:tc>
          <w:tcPr>
            <w:tcW w:w="1229" w:type="dxa"/>
            <w:vMerge w:val="continue"/>
            <w:tcBorders>
              <w:top w:val="nil"/>
              <w:left w:val="single" w:color="auto" w:sz="4" w:space="0"/>
              <w:bottom w:val="single" w:color="auto" w:sz="4" w:space="0"/>
              <w:right w:val="single" w:color="auto" w:sz="4" w:space="0"/>
            </w:tcBorders>
            <w:vAlign w:val="center"/>
          </w:tcPr>
          <w:p w14:paraId="340CF9F8">
            <w:pPr>
              <w:rPr>
                <w:rFonts w:hint="eastAsia" w:ascii="宋体" w:hAnsi="宋体" w:eastAsia="宋体" w:cs="宋体"/>
                <w:color w:val="000000"/>
                <w:sz w:val="18"/>
                <w:szCs w:val="18"/>
                <w:lang w:eastAsia="zh-CN"/>
              </w:rPr>
            </w:pPr>
          </w:p>
        </w:tc>
        <w:tc>
          <w:tcPr>
            <w:tcW w:w="755" w:type="dxa"/>
            <w:gridSpan w:val="2"/>
            <w:vMerge w:val="continue"/>
            <w:tcBorders>
              <w:top w:val="single" w:color="auto" w:sz="4" w:space="0"/>
              <w:left w:val="single" w:color="auto" w:sz="4" w:space="0"/>
              <w:bottom w:val="single" w:color="auto" w:sz="4" w:space="0"/>
              <w:right w:val="single" w:color="auto" w:sz="4" w:space="0"/>
            </w:tcBorders>
            <w:vAlign w:val="center"/>
          </w:tcPr>
          <w:p w14:paraId="70DE60E1">
            <w:pPr>
              <w:rPr>
                <w:rFonts w:hint="eastAsia" w:ascii="宋体" w:hAnsi="宋体" w:eastAsia="宋体" w:cs="宋体"/>
                <w:color w:val="000000"/>
                <w:sz w:val="18"/>
                <w:szCs w:val="18"/>
                <w:lang w:eastAsia="zh-CN"/>
              </w:rPr>
            </w:pPr>
          </w:p>
        </w:tc>
        <w:tc>
          <w:tcPr>
            <w:tcW w:w="709" w:type="dxa"/>
            <w:gridSpan w:val="2"/>
            <w:vMerge w:val="continue"/>
            <w:tcBorders>
              <w:top w:val="single" w:color="auto" w:sz="4" w:space="0"/>
              <w:left w:val="single" w:color="auto" w:sz="4" w:space="0"/>
              <w:bottom w:val="single" w:color="auto" w:sz="4" w:space="0"/>
              <w:right w:val="single" w:color="auto" w:sz="4" w:space="0"/>
            </w:tcBorders>
            <w:vAlign w:val="center"/>
          </w:tcPr>
          <w:p w14:paraId="1E378403">
            <w:pPr>
              <w:rPr>
                <w:rFonts w:hint="eastAsia" w:ascii="宋体" w:hAnsi="宋体" w:eastAsia="宋体" w:cs="宋体"/>
                <w:color w:val="000000"/>
                <w:sz w:val="18"/>
                <w:szCs w:val="18"/>
                <w:lang w:eastAsia="zh-CN"/>
              </w:rPr>
            </w:pPr>
          </w:p>
        </w:tc>
        <w:tc>
          <w:tcPr>
            <w:tcW w:w="1984" w:type="dxa"/>
            <w:gridSpan w:val="2"/>
            <w:vMerge w:val="continue"/>
            <w:tcBorders>
              <w:top w:val="single" w:color="auto" w:sz="4" w:space="0"/>
              <w:left w:val="single" w:color="auto" w:sz="4" w:space="0"/>
              <w:bottom w:val="single" w:color="auto" w:sz="4" w:space="0"/>
              <w:right w:val="single" w:color="auto" w:sz="4" w:space="0"/>
            </w:tcBorders>
            <w:vAlign w:val="center"/>
          </w:tcPr>
          <w:p w14:paraId="52D02CB3">
            <w:pPr>
              <w:rPr>
                <w:rFonts w:hint="eastAsia" w:ascii="宋体" w:hAnsi="宋体" w:eastAsia="宋体" w:cs="宋体"/>
                <w:color w:val="000000"/>
                <w:sz w:val="18"/>
                <w:szCs w:val="18"/>
                <w:lang w:eastAsia="zh-CN"/>
              </w:rPr>
            </w:pPr>
          </w:p>
        </w:tc>
      </w:tr>
      <w:tr w14:paraId="7023BC29">
        <w:tblPrEx>
          <w:tblCellMar>
            <w:top w:w="0" w:type="dxa"/>
            <w:left w:w="108" w:type="dxa"/>
            <w:bottom w:w="0" w:type="dxa"/>
            <w:right w:w="108" w:type="dxa"/>
          </w:tblCellMar>
        </w:tblPrEx>
        <w:trPr>
          <w:cantSplit/>
          <w:trHeight w:val="600" w:hRule="atLeast"/>
        </w:trPr>
        <w:tc>
          <w:tcPr>
            <w:tcW w:w="598" w:type="dxa"/>
            <w:vMerge w:val="restart"/>
            <w:tcBorders>
              <w:top w:val="nil"/>
              <w:left w:val="single" w:color="auto" w:sz="4" w:space="0"/>
              <w:bottom w:val="single" w:color="auto" w:sz="4" w:space="0"/>
              <w:right w:val="single" w:color="auto" w:sz="4" w:space="0"/>
            </w:tcBorders>
            <w:vAlign w:val="center"/>
          </w:tcPr>
          <w:p w14:paraId="64958F43">
            <w:pPr>
              <w:jc w:val="center"/>
              <w:rPr>
                <w:rFonts w:hint="eastAsia" w:ascii="宋体" w:hAnsi="宋体" w:eastAsia="宋体" w:cs="宋体"/>
                <w:b/>
                <w:bCs/>
                <w:color w:val="000000"/>
                <w:sz w:val="18"/>
                <w:szCs w:val="18"/>
                <w:lang w:eastAsia="zh-CN"/>
              </w:rPr>
            </w:pPr>
            <w:r>
              <w:rPr>
                <w:rFonts w:hint="eastAsia" w:ascii="宋体" w:hAnsi="宋体" w:eastAsia="宋体" w:cs="宋体"/>
                <w:b/>
                <w:bCs/>
                <w:color w:val="000000"/>
                <w:sz w:val="18"/>
                <w:szCs w:val="18"/>
                <w:lang w:eastAsia="zh-CN"/>
              </w:rPr>
              <w:t>年度绩效指标完成情况</w:t>
            </w:r>
          </w:p>
        </w:tc>
        <w:tc>
          <w:tcPr>
            <w:tcW w:w="707" w:type="dxa"/>
            <w:vMerge w:val="restart"/>
            <w:tcBorders>
              <w:top w:val="nil"/>
              <w:left w:val="nil"/>
              <w:right w:val="single" w:color="auto" w:sz="4" w:space="0"/>
            </w:tcBorders>
            <w:vAlign w:val="center"/>
          </w:tcPr>
          <w:p w14:paraId="58A5D980">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产出指标</w:t>
            </w:r>
          </w:p>
        </w:tc>
        <w:tc>
          <w:tcPr>
            <w:tcW w:w="718" w:type="dxa"/>
            <w:tcBorders>
              <w:top w:val="nil"/>
              <w:left w:val="nil"/>
              <w:bottom w:val="single" w:color="auto" w:sz="4" w:space="0"/>
              <w:right w:val="single" w:color="auto" w:sz="4" w:space="0"/>
            </w:tcBorders>
            <w:vAlign w:val="center"/>
          </w:tcPr>
          <w:p w14:paraId="6D95ED5F">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数量指标</w:t>
            </w:r>
          </w:p>
        </w:tc>
        <w:tc>
          <w:tcPr>
            <w:tcW w:w="1857" w:type="dxa"/>
            <w:gridSpan w:val="2"/>
            <w:tcBorders>
              <w:top w:val="single" w:color="auto" w:sz="4" w:space="0"/>
              <w:left w:val="nil"/>
              <w:bottom w:val="single" w:color="auto" w:sz="4" w:space="0"/>
              <w:right w:val="single" w:color="000000" w:sz="4" w:space="0"/>
            </w:tcBorders>
            <w:noWrap/>
            <w:vAlign w:val="center"/>
          </w:tcPr>
          <w:p w14:paraId="2BC0489A">
            <w:pPr>
              <w:rPr>
                <w:rFonts w:hint="eastAsia" w:ascii="宋体" w:hAnsi="宋体" w:eastAsia="宋体" w:cs="宋体"/>
                <w:color w:val="000000"/>
                <w:sz w:val="18"/>
                <w:szCs w:val="18"/>
              </w:rPr>
            </w:pPr>
            <w:r>
              <w:rPr>
                <w:rFonts w:hint="eastAsia" w:ascii="宋体" w:hAnsi="宋体" w:eastAsia="宋体" w:cs="宋体"/>
                <w:color w:val="000000"/>
                <w:sz w:val="18"/>
                <w:szCs w:val="18"/>
              </w:rPr>
              <w:t>专网链路条数</w:t>
            </w:r>
          </w:p>
        </w:tc>
        <w:tc>
          <w:tcPr>
            <w:tcW w:w="1125" w:type="dxa"/>
            <w:tcBorders>
              <w:top w:val="nil"/>
              <w:left w:val="nil"/>
              <w:bottom w:val="single" w:color="auto" w:sz="4" w:space="0"/>
              <w:right w:val="single" w:color="auto" w:sz="4" w:space="0"/>
            </w:tcBorders>
            <w:vAlign w:val="center"/>
          </w:tcPr>
          <w:p w14:paraId="0AAE15CA">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&gt;=127条</w:t>
            </w:r>
          </w:p>
        </w:tc>
        <w:tc>
          <w:tcPr>
            <w:tcW w:w="1229" w:type="dxa"/>
            <w:tcBorders>
              <w:top w:val="nil"/>
              <w:left w:val="nil"/>
              <w:bottom w:val="single" w:color="auto" w:sz="4" w:space="0"/>
              <w:right w:val="single" w:color="auto" w:sz="4" w:space="0"/>
            </w:tcBorders>
            <w:vAlign w:val="center"/>
          </w:tcPr>
          <w:p w14:paraId="538691B1">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=127条</w:t>
            </w:r>
          </w:p>
        </w:tc>
        <w:tc>
          <w:tcPr>
            <w:tcW w:w="755" w:type="dxa"/>
            <w:gridSpan w:val="2"/>
            <w:tcBorders>
              <w:top w:val="single" w:color="auto" w:sz="4" w:space="0"/>
              <w:left w:val="nil"/>
              <w:bottom w:val="single" w:color="auto" w:sz="4" w:space="0"/>
              <w:right w:val="single" w:color="000000" w:sz="4" w:space="0"/>
            </w:tcBorders>
            <w:vAlign w:val="center"/>
          </w:tcPr>
          <w:p w14:paraId="6C900CB0">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10</w:t>
            </w:r>
          </w:p>
        </w:tc>
        <w:tc>
          <w:tcPr>
            <w:tcW w:w="709" w:type="dxa"/>
            <w:gridSpan w:val="2"/>
            <w:tcBorders>
              <w:top w:val="single" w:color="auto" w:sz="4" w:space="0"/>
              <w:left w:val="nil"/>
              <w:bottom w:val="single" w:color="auto" w:sz="4" w:space="0"/>
              <w:right w:val="single" w:color="000000" w:sz="4" w:space="0"/>
            </w:tcBorders>
            <w:vAlign w:val="center"/>
          </w:tcPr>
          <w:p w14:paraId="6D43B086">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10</w:t>
            </w:r>
          </w:p>
        </w:tc>
        <w:tc>
          <w:tcPr>
            <w:tcW w:w="1984" w:type="dxa"/>
            <w:gridSpan w:val="2"/>
            <w:tcBorders>
              <w:top w:val="single" w:color="auto" w:sz="4" w:space="0"/>
              <w:left w:val="nil"/>
              <w:bottom w:val="single" w:color="auto" w:sz="4" w:space="0"/>
              <w:right w:val="single" w:color="auto" w:sz="4" w:space="0"/>
            </w:tcBorders>
            <w:vAlign w:val="center"/>
          </w:tcPr>
          <w:p w14:paraId="58D7F6CB">
            <w:pPr>
              <w:jc w:val="center"/>
              <w:rPr>
                <w:rFonts w:hint="eastAsia" w:ascii="宋体" w:hAnsi="宋体" w:eastAsia="宋体" w:cs="宋体"/>
                <w:color w:val="000000"/>
                <w:sz w:val="18"/>
                <w:szCs w:val="18"/>
              </w:rPr>
            </w:pPr>
          </w:p>
        </w:tc>
      </w:tr>
      <w:tr w14:paraId="33AC5E30">
        <w:tblPrEx>
          <w:tblCellMar>
            <w:top w:w="0" w:type="dxa"/>
            <w:left w:w="108" w:type="dxa"/>
            <w:bottom w:w="0" w:type="dxa"/>
            <w:right w:w="108" w:type="dxa"/>
          </w:tblCellMar>
        </w:tblPrEx>
        <w:trPr>
          <w:cantSplit/>
          <w:trHeight w:val="600" w:hRule="atLeast"/>
        </w:trPr>
        <w:tc>
          <w:tcPr>
            <w:tcW w:w="598" w:type="dxa"/>
            <w:vMerge w:val="continue"/>
            <w:tcBorders>
              <w:top w:val="nil"/>
              <w:left w:val="single" w:color="auto" w:sz="4" w:space="0"/>
              <w:bottom w:val="single" w:color="auto" w:sz="4" w:space="0"/>
              <w:right w:val="single" w:color="auto" w:sz="4" w:space="0"/>
            </w:tcBorders>
            <w:vAlign w:val="center"/>
          </w:tcPr>
          <w:p w14:paraId="25F658BF">
            <w:pPr>
              <w:rPr>
                <w:rFonts w:hint="eastAsia" w:ascii="宋体" w:hAnsi="宋体" w:eastAsia="宋体" w:cs="宋体"/>
                <w:color w:val="000000"/>
                <w:sz w:val="18"/>
                <w:szCs w:val="18"/>
              </w:rPr>
            </w:pPr>
          </w:p>
        </w:tc>
        <w:tc>
          <w:tcPr>
            <w:tcW w:w="707" w:type="dxa"/>
            <w:vMerge w:val="continue"/>
            <w:tcBorders>
              <w:left w:val="nil"/>
              <w:right w:val="single" w:color="auto" w:sz="4" w:space="0"/>
            </w:tcBorders>
            <w:vAlign w:val="center"/>
          </w:tcPr>
          <w:p w14:paraId="76B767EE">
            <w:pPr>
              <w:jc w:val="center"/>
              <w:rPr>
                <w:rFonts w:hint="eastAsia" w:ascii="宋体" w:hAnsi="宋体" w:eastAsia="宋体" w:cs="宋体"/>
                <w:color w:val="000000"/>
                <w:sz w:val="18"/>
                <w:szCs w:val="18"/>
              </w:rPr>
            </w:pPr>
          </w:p>
        </w:tc>
        <w:tc>
          <w:tcPr>
            <w:tcW w:w="718" w:type="dxa"/>
            <w:tcBorders>
              <w:top w:val="nil"/>
              <w:left w:val="nil"/>
              <w:bottom w:val="single" w:color="auto" w:sz="4" w:space="0"/>
              <w:right w:val="single" w:color="auto" w:sz="4" w:space="0"/>
            </w:tcBorders>
            <w:vAlign w:val="center"/>
          </w:tcPr>
          <w:p w14:paraId="751B1FC7">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质量指标</w:t>
            </w:r>
          </w:p>
        </w:tc>
        <w:tc>
          <w:tcPr>
            <w:tcW w:w="1857" w:type="dxa"/>
            <w:gridSpan w:val="2"/>
            <w:tcBorders>
              <w:top w:val="single" w:color="auto" w:sz="4" w:space="0"/>
              <w:left w:val="nil"/>
              <w:bottom w:val="single" w:color="auto" w:sz="4" w:space="0"/>
              <w:right w:val="single" w:color="000000" w:sz="4" w:space="0"/>
            </w:tcBorders>
            <w:noWrap/>
            <w:vAlign w:val="center"/>
          </w:tcPr>
          <w:p w14:paraId="2C9EFB1F">
            <w:pPr>
              <w:rPr>
                <w:rFonts w:hint="eastAsia" w:ascii="宋体" w:hAnsi="宋体" w:eastAsia="宋体" w:cs="宋体"/>
                <w:color w:val="000000"/>
                <w:sz w:val="18"/>
                <w:szCs w:val="18"/>
              </w:rPr>
            </w:pPr>
            <w:r>
              <w:rPr>
                <w:rFonts w:hint="eastAsia" w:ascii="宋体" w:hAnsi="宋体" w:eastAsia="宋体" w:cs="宋体"/>
                <w:color w:val="000000"/>
                <w:sz w:val="18"/>
                <w:szCs w:val="18"/>
              </w:rPr>
              <w:t>专网安装质量合格率</w:t>
            </w:r>
          </w:p>
        </w:tc>
        <w:tc>
          <w:tcPr>
            <w:tcW w:w="1125" w:type="dxa"/>
            <w:tcBorders>
              <w:top w:val="nil"/>
              <w:left w:val="nil"/>
              <w:bottom w:val="single" w:color="auto" w:sz="4" w:space="0"/>
              <w:right w:val="single" w:color="auto" w:sz="4" w:space="0"/>
            </w:tcBorders>
            <w:vAlign w:val="center"/>
          </w:tcPr>
          <w:p w14:paraId="6A14A867">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&gt;=95%</w:t>
            </w:r>
          </w:p>
        </w:tc>
        <w:tc>
          <w:tcPr>
            <w:tcW w:w="1229" w:type="dxa"/>
            <w:tcBorders>
              <w:top w:val="nil"/>
              <w:left w:val="nil"/>
              <w:bottom w:val="single" w:color="auto" w:sz="4" w:space="0"/>
              <w:right w:val="single" w:color="auto" w:sz="4" w:space="0"/>
            </w:tcBorders>
            <w:vAlign w:val="center"/>
          </w:tcPr>
          <w:p w14:paraId="358D76F2">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=100%</w:t>
            </w:r>
          </w:p>
        </w:tc>
        <w:tc>
          <w:tcPr>
            <w:tcW w:w="755" w:type="dxa"/>
            <w:gridSpan w:val="2"/>
            <w:tcBorders>
              <w:top w:val="single" w:color="auto" w:sz="4" w:space="0"/>
              <w:left w:val="nil"/>
              <w:bottom w:val="single" w:color="auto" w:sz="4" w:space="0"/>
              <w:right w:val="single" w:color="000000" w:sz="4" w:space="0"/>
            </w:tcBorders>
            <w:vAlign w:val="center"/>
          </w:tcPr>
          <w:p w14:paraId="0F19019A">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10</w:t>
            </w:r>
          </w:p>
        </w:tc>
        <w:tc>
          <w:tcPr>
            <w:tcW w:w="709" w:type="dxa"/>
            <w:gridSpan w:val="2"/>
            <w:tcBorders>
              <w:top w:val="single" w:color="auto" w:sz="4" w:space="0"/>
              <w:left w:val="nil"/>
              <w:bottom w:val="single" w:color="auto" w:sz="4" w:space="0"/>
              <w:right w:val="single" w:color="000000" w:sz="4" w:space="0"/>
            </w:tcBorders>
            <w:vAlign w:val="center"/>
          </w:tcPr>
          <w:p w14:paraId="4D5F22B2">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10</w:t>
            </w:r>
          </w:p>
        </w:tc>
        <w:tc>
          <w:tcPr>
            <w:tcW w:w="1984" w:type="dxa"/>
            <w:gridSpan w:val="2"/>
            <w:tcBorders>
              <w:top w:val="single" w:color="auto" w:sz="4" w:space="0"/>
              <w:left w:val="nil"/>
              <w:bottom w:val="single" w:color="auto" w:sz="4" w:space="0"/>
              <w:right w:val="single" w:color="auto" w:sz="4" w:space="0"/>
            </w:tcBorders>
            <w:vAlign w:val="center"/>
          </w:tcPr>
          <w:p w14:paraId="55C2F7E1">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已完成</w:t>
            </w:r>
          </w:p>
        </w:tc>
      </w:tr>
      <w:tr w14:paraId="61A2BB5A">
        <w:tblPrEx>
          <w:tblCellMar>
            <w:top w:w="0" w:type="dxa"/>
            <w:left w:w="108" w:type="dxa"/>
            <w:bottom w:w="0" w:type="dxa"/>
            <w:right w:w="108" w:type="dxa"/>
          </w:tblCellMar>
        </w:tblPrEx>
        <w:trPr>
          <w:cantSplit/>
          <w:trHeight w:val="600" w:hRule="atLeast"/>
        </w:trPr>
        <w:tc>
          <w:tcPr>
            <w:tcW w:w="598" w:type="dxa"/>
            <w:vMerge w:val="continue"/>
            <w:tcBorders>
              <w:top w:val="nil"/>
              <w:left w:val="single" w:color="auto" w:sz="4" w:space="0"/>
              <w:bottom w:val="single" w:color="auto" w:sz="4" w:space="0"/>
              <w:right w:val="single" w:color="auto" w:sz="4" w:space="0"/>
            </w:tcBorders>
            <w:vAlign w:val="center"/>
          </w:tcPr>
          <w:p w14:paraId="76A61D0B">
            <w:pPr>
              <w:rPr>
                <w:rFonts w:hint="eastAsia" w:ascii="宋体" w:hAnsi="宋体" w:eastAsia="宋体" w:cs="宋体"/>
                <w:color w:val="000000"/>
                <w:sz w:val="18"/>
                <w:szCs w:val="18"/>
              </w:rPr>
            </w:pPr>
          </w:p>
        </w:tc>
        <w:tc>
          <w:tcPr>
            <w:tcW w:w="707" w:type="dxa"/>
            <w:vMerge w:val="continue"/>
            <w:tcBorders>
              <w:left w:val="nil"/>
              <w:right w:val="single" w:color="auto" w:sz="4" w:space="0"/>
            </w:tcBorders>
            <w:vAlign w:val="center"/>
          </w:tcPr>
          <w:p w14:paraId="5DB52562">
            <w:pPr>
              <w:jc w:val="center"/>
              <w:rPr>
                <w:rFonts w:hint="eastAsia" w:ascii="宋体" w:hAnsi="宋体" w:eastAsia="宋体" w:cs="宋体"/>
                <w:color w:val="000000"/>
                <w:sz w:val="18"/>
                <w:szCs w:val="18"/>
              </w:rPr>
            </w:pPr>
          </w:p>
        </w:tc>
        <w:tc>
          <w:tcPr>
            <w:tcW w:w="718" w:type="dxa"/>
            <w:vMerge w:val="restart"/>
            <w:tcBorders>
              <w:top w:val="nil"/>
              <w:left w:val="nil"/>
              <w:right w:val="single" w:color="auto" w:sz="4" w:space="0"/>
            </w:tcBorders>
            <w:vAlign w:val="center"/>
          </w:tcPr>
          <w:p w14:paraId="0967FA25">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时效指标</w:t>
            </w:r>
          </w:p>
        </w:tc>
        <w:tc>
          <w:tcPr>
            <w:tcW w:w="1857" w:type="dxa"/>
            <w:gridSpan w:val="2"/>
            <w:tcBorders>
              <w:top w:val="single" w:color="auto" w:sz="4" w:space="0"/>
              <w:left w:val="nil"/>
              <w:bottom w:val="single" w:color="auto" w:sz="4" w:space="0"/>
              <w:right w:val="single" w:color="000000" w:sz="4" w:space="0"/>
            </w:tcBorders>
            <w:noWrap/>
            <w:vAlign w:val="center"/>
          </w:tcPr>
          <w:p w14:paraId="74F4133D">
            <w:pPr>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网线故障修复处理时间</w:t>
            </w:r>
          </w:p>
        </w:tc>
        <w:tc>
          <w:tcPr>
            <w:tcW w:w="1125" w:type="dxa"/>
            <w:tcBorders>
              <w:top w:val="nil"/>
              <w:left w:val="nil"/>
              <w:bottom w:val="single" w:color="auto" w:sz="4" w:space="0"/>
              <w:right w:val="single" w:color="auto" w:sz="4" w:space="0"/>
            </w:tcBorders>
            <w:vAlign w:val="center"/>
          </w:tcPr>
          <w:p w14:paraId="5292F508">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&lt;=5小时</w:t>
            </w:r>
          </w:p>
        </w:tc>
        <w:tc>
          <w:tcPr>
            <w:tcW w:w="1229" w:type="dxa"/>
            <w:tcBorders>
              <w:top w:val="nil"/>
              <w:left w:val="nil"/>
              <w:bottom w:val="single" w:color="auto" w:sz="4" w:space="0"/>
              <w:right w:val="single" w:color="auto" w:sz="4" w:space="0"/>
            </w:tcBorders>
            <w:vAlign w:val="center"/>
          </w:tcPr>
          <w:p w14:paraId="6ACF2712">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=0小时</w:t>
            </w:r>
          </w:p>
        </w:tc>
        <w:tc>
          <w:tcPr>
            <w:tcW w:w="755" w:type="dxa"/>
            <w:gridSpan w:val="2"/>
            <w:tcBorders>
              <w:top w:val="single" w:color="auto" w:sz="4" w:space="0"/>
              <w:left w:val="nil"/>
              <w:bottom w:val="single" w:color="auto" w:sz="4" w:space="0"/>
              <w:right w:val="single" w:color="000000" w:sz="4" w:space="0"/>
            </w:tcBorders>
            <w:vAlign w:val="center"/>
          </w:tcPr>
          <w:p w14:paraId="281ABE59">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10</w:t>
            </w:r>
          </w:p>
        </w:tc>
        <w:tc>
          <w:tcPr>
            <w:tcW w:w="709" w:type="dxa"/>
            <w:gridSpan w:val="2"/>
            <w:tcBorders>
              <w:top w:val="single" w:color="auto" w:sz="4" w:space="0"/>
              <w:left w:val="nil"/>
              <w:bottom w:val="single" w:color="auto" w:sz="4" w:space="0"/>
              <w:right w:val="single" w:color="000000" w:sz="4" w:space="0"/>
            </w:tcBorders>
            <w:vAlign w:val="center"/>
          </w:tcPr>
          <w:p w14:paraId="250529E3">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10</w:t>
            </w:r>
          </w:p>
        </w:tc>
        <w:tc>
          <w:tcPr>
            <w:tcW w:w="1984" w:type="dxa"/>
            <w:gridSpan w:val="2"/>
            <w:tcBorders>
              <w:top w:val="single" w:color="auto" w:sz="4" w:space="0"/>
              <w:left w:val="nil"/>
              <w:bottom w:val="single" w:color="auto" w:sz="4" w:space="0"/>
              <w:right w:val="single" w:color="auto" w:sz="4" w:space="0"/>
            </w:tcBorders>
            <w:vAlign w:val="center"/>
          </w:tcPr>
          <w:p w14:paraId="52249CDD">
            <w:pPr>
              <w:jc w:val="center"/>
              <w:rPr>
                <w:rFonts w:hint="eastAsia" w:ascii="宋体" w:hAnsi="宋体" w:eastAsia="宋体" w:cs="宋体"/>
                <w:color w:val="000000"/>
                <w:sz w:val="18"/>
                <w:szCs w:val="18"/>
              </w:rPr>
            </w:pPr>
          </w:p>
        </w:tc>
      </w:tr>
      <w:tr w14:paraId="1550C3DE">
        <w:tblPrEx>
          <w:tblCellMar>
            <w:top w:w="0" w:type="dxa"/>
            <w:left w:w="108" w:type="dxa"/>
            <w:bottom w:w="0" w:type="dxa"/>
            <w:right w:w="108" w:type="dxa"/>
          </w:tblCellMar>
        </w:tblPrEx>
        <w:trPr>
          <w:cantSplit/>
          <w:trHeight w:val="600" w:hRule="atLeast"/>
        </w:trPr>
        <w:tc>
          <w:tcPr>
            <w:tcW w:w="598" w:type="dxa"/>
            <w:vMerge w:val="continue"/>
            <w:tcBorders>
              <w:top w:val="nil"/>
              <w:left w:val="single" w:color="auto" w:sz="4" w:space="0"/>
              <w:bottom w:val="single" w:color="auto" w:sz="4" w:space="0"/>
              <w:right w:val="single" w:color="auto" w:sz="4" w:space="0"/>
            </w:tcBorders>
            <w:vAlign w:val="center"/>
          </w:tcPr>
          <w:p w14:paraId="3AFA4935">
            <w:pPr>
              <w:rPr>
                <w:rFonts w:hint="eastAsia" w:ascii="宋体" w:hAnsi="宋体" w:eastAsia="宋体" w:cs="宋体"/>
                <w:color w:val="000000"/>
                <w:sz w:val="18"/>
                <w:szCs w:val="18"/>
              </w:rPr>
            </w:pPr>
          </w:p>
        </w:tc>
        <w:tc>
          <w:tcPr>
            <w:tcW w:w="707" w:type="dxa"/>
            <w:vMerge w:val="continue"/>
            <w:tcBorders>
              <w:left w:val="nil"/>
              <w:bottom w:val="single" w:color="auto" w:sz="4" w:space="0"/>
              <w:right w:val="single" w:color="auto" w:sz="4" w:space="0"/>
            </w:tcBorders>
            <w:vAlign w:val="center"/>
          </w:tcPr>
          <w:p w14:paraId="2ED7441B">
            <w:pPr>
              <w:jc w:val="center"/>
              <w:rPr>
                <w:rFonts w:hint="eastAsia" w:ascii="宋体" w:hAnsi="宋体" w:eastAsia="宋体" w:cs="宋体"/>
                <w:color w:val="000000"/>
                <w:sz w:val="18"/>
                <w:szCs w:val="18"/>
              </w:rPr>
            </w:pPr>
          </w:p>
        </w:tc>
        <w:tc>
          <w:tcPr>
            <w:tcW w:w="718" w:type="dxa"/>
            <w:vMerge w:val="continue"/>
            <w:tcBorders>
              <w:left w:val="nil"/>
              <w:bottom w:val="single" w:color="auto" w:sz="4" w:space="0"/>
              <w:right w:val="single" w:color="auto" w:sz="4" w:space="0"/>
            </w:tcBorders>
            <w:vAlign w:val="center"/>
          </w:tcPr>
          <w:p w14:paraId="135C8F16">
            <w:pPr>
              <w:jc w:val="center"/>
              <w:rPr>
                <w:rFonts w:hint="eastAsia" w:ascii="宋体" w:hAnsi="宋体" w:eastAsia="宋体" w:cs="宋体"/>
                <w:color w:val="000000"/>
                <w:sz w:val="18"/>
                <w:szCs w:val="18"/>
              </w:rPr>
            </w:pPr>
          </w:p>
        </w:tc>
        <w:tc>
          <w:tcPr>
            <w:tcW w:w="1857" w:type="dxa"/>
            <w:gridSpan w:val="2"/>
            <w:tcBorders>
              <w:top w:val="single" w:color="auto" w:sz="4" w:space="0"/>
              <w:left w:val="nil"/>
              <w:bottom w:val="single" w:color="auto" w:sz="4" w:space="0"/>
              <w:right w:val="single" w:color="000000" w:sz="4" w:space="0"/>
            </w:tcBorders>
            <w:noWrap/>
            <w:vAlign w:val="center"/>
          </w:tcPr>
          <w:p w14:paraId="60E9F936">
            <w:pPr>
              <w:rPr>
                <w:rFonts w:hint="eastAsia" w:ascii="宋体" w:hAnsi="宋体" w:eastAsia="宋体" w:cs="宋体"/>
                <w:color w:val="000000"/>
                <w:sz w:val="18"/>
                <w:szCs w:val="18"/>
              </w:rPr>
            </w:pPr>
            <w:r>
              <w:rPr>
                <w:rFonts w:hint="eastAsia" w:ascii="宋体" w:hAnsi="宋体" w:eastAsia="宋体" w:cs="宋体"/>
                <w:color w:val="000000"/>
                <w:sz w:val="18"/>
                <w:szCs w:val="18"/>
              </w:rPr>
              <w:t>资金支付及时率</w:t>
            </w:r>
          </w:p>
        </w:tc>
        <w:tc>
          <w:tcPr>
            <w:tcW w:w="1125" w:type="dxa"/>
            <w:tcBorders>
              <w:top w:val="nil"/>
              <w:left w:val="nil"/>
              <w:bottom w:val="single" w:color="auto" w:sz="4" w:space="0"/>
              <w:right w:val="single" w:color="auto" w:sz="4" w:space="0"/>
            </w:tcBorders>
            <w:vAlign w:val="center"/>
          </w:tcPr>
          <w:p w14:paraId="0B0A6BA1">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&gt;=95%</w:t>
            </w:r>
          </w:p>
        </w:tc>
        <w:tc>
          <w:tcPr>
            <w:tcW w:w="1229" w:type="dxa"/>
            <w:tcBorders>
              <w:top w:val="nil"/>
              <w:left w:val="nil"/>
              <w:bottom w:val="single" w:color="auto" w:sz="4" w:space="0"/>
              <w:right w:val="single" w:color="auto" w:sz="4" w:space="0"/>
            </w:tcBorders>
            <w:vAlign w:val="center"/>
          </w:tcPr>
          <w:p w14:paraId="29CFBF41">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=100%</w:t>
            </w:r>
          </w:p>
        </w:tc>
        <w:tc>
          <w:tcPr>
            <w:tcW w:w="755" w:type="dxa"/>
            <w:gridSpan w:val="2"/>
            <w:tcBorders>
              <w:top w:val="single" w:color="auto" w:sz="4" w:space="0"/>
              <w:left w:val="nil"/>
              <w:bottom w:val="single" w:color="auto" w:sz="4" w:space="0"/>
              <w:right w:val="single" w:color="000000" w:sz="4" w:space="0"/>
            </w:tcBorders>
            <w:vAlign w:val="center"/>
          </w:tcPr>
          <w:p w14:paraId="21E8EA32">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10</w:t>
            </w:r>
          </w:p>
        </w:tc>
        <w:tc>
          <w:tcPr>
            <w:tcW w:w="709" w:type="dxa"/>
            <w:gridSpan w:val="2"/>
            <w:tcBorders>
              <w:top w:val="single" w:color="auto" w:sz="4" w:space="0"/>
              <w:left w:val="nil"/>
              <w:bottom w:val="single" w:color="auto" w:sz="4" w:space="0"/>
              <w:right w:val="single" w:color="000000" w:sz="4" w:space="0"/>
            </w:tcBorders>
            <w:vAlign w:val="center"/>
          </w:tcPr>
          <w:p w14:paraId="7F6D41DF">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10</w:t>
            </w:r>
          </w:p>
        </w:tc>
        <w:tc>
          <w:tcPr>
            <w:tcW w:w="1984" w:type="dxa"/>
            <w:gridSpan w:val="2"/>
            <w:tcBorders>
              <w:top w:val="single" w:color="auto" w:sz="4" w:space="0"/>
              <w:left w:val="nil"/>
              <w:bottom w:val="single" w:color="auto" w:sz="4" w:space="0"/>
              <w:right w:val="single" w:color="auto" w:sz="4" w:space="0"/>
            </w:tcBorders>
            <w:vAlign w:val="center"/>
          </w:tcPr>
          <w:p w14:paraId="1D8513AE">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已完成</w:t>
            </w:r>
          </w:p>
        </w:tc>
      </w:tr>
      <w:tr w14:paraId="2E8ECD16">
        <w:tblPrEx>
          <w:tblCellMar>
            <w:top w:w="0" w:type="dxa"/>
            <w:left w:w="108" w:type="dxa"/>
            <w:bottom w:w="0" w:type="dxa"/>
            <w:right w:w="108" w:type="dxa"/>
          </w:tblCellMar>
        </w:tblPrEx>
        <w:trPr>
          <w:cantSplit/>
          <w:trHeight w:val="600" w:hRule="atLeast"/>
        </w:trPr>
        <w:tc>
          <w:tcPr>
            <w:tcW w:w="598" w:type="dxa"/>
            <w:vMerge w:val="continue"/>
            <w:tcBorders>
              <w:top w:val="nil"/>
              <w:left w:val="single" w:color="auto" w:sz="4" w:space="0"/>
              <w:bottom w:val="single" w:color="auto" w:sz="4" w:space="0"/>
              <w:right w:val="single" w:color="auto" w:sz="4" w:space="0"/>
            </w:tcBorders>
            <w:vAlign w:val="center"/>
          </w:tcPr>
          <w:p w14:paraId="5676E454">
            <w:pPr>
              <w:rPr>
                <w:rFonts w:hint="eastAsia" w:ascii="宋体" w:hAnsi="宋体" w:eastAsia="宋体" w:cs="宋体"/>
                <w:color w:val="000000"/>
                <w:sz w:val="18"/>
                <w:szCs w:val="18"/>
              </w:rPr>
            </w:pPr>
          </w:p>
        </w:tc>
        <w:tc>
          <w:tcPr>
            <w:tcW w:w="707" w:type="dxa"/>
            <w:tcBorders>
              <w:top w:val="nil"/>
              <w:left w:val="nil"/>
              <w:bottom w:val="single" w:color="auto" w:sz="4" w:space="0"/>
              <w:right w:val="single" w:color="auto" w:sz="4" w:space="0"/>
            </w:tcBorders>
            <w:vAlign w:val="center"/>
          </w:tcPr>
          <w:p w14:paraId="2A224BB3">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成本指标</w:t>
            </w:r>
          </w:p>
        </w:tc>
        <w:tc>
          <w:tcPr>
            <w:tcW w:w="718" w:type="dxa"/>
            <w:tcBorders>
              <w:top w:val="nil"/>
              <w:left w:val="nil"/>
              <w:bottom w:val="single" w:color="auto" w:sz="4" w:space="0"/>
              <w:right w:val="single" w:color="auto" w:sz="4" w:space="0"/>
            </w:tcBorders>
            <w:vAlign w:val="center"/>
          </w:tcPr>
          <w:p w14:paraId="00BEDC10">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经济成本指标</w:t>
            </w:r>
          </w:p>
        </w:tc>
        <w:tc>
          <w:tcPr>
            <w:tcW w:w="1857" w:type="dxa"/>
            <w:gridSpan w:val="2"/>
            <w:tcBorders>
              <w:top w:val="single" w:color="auto" w:sz="4" w:space="0"/>
              <w:left w:val="nil"/>
              <w:bottom w:val="single" w:color="auto" w:sz="4" w:space="0"/>
              <w:right w:val="single" w:color="000000" w:sz="4" w:space="0"/>
            </w:tcBorders>
            <w:noWrap/>
            <w:vAlign w:val="center"/>
          </w:tcPr>
          <w:p w14:paraId="350CF09C">
            <w:pPr>
              <w:rPr>
                <w:rFonts w:hint="eastAsia" w:ascii="宋体" w:hAnsi="宋体" w:eastAsia="宋体" w:cs="宋体"/>
                <w:color w:val="000000"/>
                <w:sz w:val="18"/>
                <w:szCs w:val="18"/>
              </w:rPr>
            </w:pPr>
            <w:r>
              <w:rPr>
                <w:rFonts w:hint="eastAsia" w:ascii="宋体" w:hAnsi="宋体" w:eastAsia="宋体" w:cs="宋体"/>
                <w:color w:val="000000"/>
                <w:sz w:val="18"/>
                <w:szCs w:val="18"/>
              </w:rPr>
              <w:t>支付专网链路费用</w:t>
            </w:r>
          </w:p>
        </w:tc>
        <w:tc>
          <w:tcPr>
            <w:tcW w:w="1125" w:type="dxa"/>
            <w:tcBorders>
              <w:top w:val="nil"/>
              <w:left w:val="nil"/>
              <w:bottom w:val="single" w:color="auto" w:sz="4" w:space="0"/>
              <w:right w:val="single" w:color="auto" w:sz="4" w:space="0"/>
            </w:tcBorders>
            <w:vAlign w:val="center"/>
          </w:tcPr>
          <w:p w14:paraId="4C775D40">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&lt;=173万元</w:t>
            </w:r>
          </w:p>
        </w:tc>
        <w:tc>
          <w:tcPr>
            <w:tcW w:w="1229" w:type="dxa"/>
            <w:tcBorders>
              <w:top w:val="nil"/>
              <w:left w:val="nil"/>
              <w:bottom w:val="single" w:color="auto" w:sz="4" w:space="0"/>
              <w:right w:val="single" w:color="auto" w:sz="4" w:space="0"/>
            </w:tcBorders>
            <w:vAlign w:val="center"/>
          </w:tcPr>
          <w:p w14:paraId="1A4137A8">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=173万元</w:t>
            </w:r>
          </w:p>
        </w:tc>
        <w:tc>
          <w:tcPr>
            <w:tcW w:w="755" w:type="dxa"/>
            <w:gridSpan w:val="2"/>
            <w:tcBorders>
              <w:top w:val="single" w:color="auto" w:sz="4" w:space="0"/>
              <w:left w:val="nil"/>
              <w:bottom w:val="single" w:color="auto" w:sz="4" w:space="0"/>
              <w:right w:val="single" w:color="000000" w:sz="4" w:space="0"/>
            </w:tcBorders>
            <w:vAlign w:val="center"/>
          </w:tcPr>
          <w:p w14:paraId="5300EA44">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20</w:t>
            </w:r>
          </w:p>
        </w:tc>
        <w:tc>
          <w:tcPr>
            <w:tcW w:w="709" w:type="dxa"/>
            <w:gridSpan w:val="2"/>
            <w:tcBorders>
              <w:top w:val="single" w:color="auto" w:sz="4" w:space="0"/>
              <w:left w:val="nil"/>
              <w:bottom w:val="single" w:color="auto" w:sz="4" w:space="0"/>
              <w:right w:val="single" w:color="000000" w:sz="4" w:space="0"/>
            </w:tcBorders>
            <w:vAlign w:val="center"/>
          </w:tcPr>
          <w:p w14:paraId="6528226B">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20</w:t>
            </w:r>
          </w:p>
        </w:tc>
        <w:tc>
          <w:tcPr>
            <w:tcW w:w="1984" w:type="dxa"/>
            <w:gridSpan w:val="2"/>
            <w:tcBorders>
              <w:top w:val="single" w:color="auto" w:sz="4" w:space="0"/>
              <w:left w:val="nil"/>
              <w:bottom w:val="single" w:color="auto" w:sz="4" w:space="0"/>
              <w:right w:val="single" w:color="auto" w:sz="4" w:space="0"/>
            </w:tcBorders>
            <w:vAlign w:val="center"/>
          </w:tcPr>
          <w:p w14:paraId="4FBD5C67">
            <w:pPr>
              <w:jc w:val="center"/>
              <w:rPr>
                <w:rFonts w:hint="eastAsia" w:ascii="宋体" w:hAnsi="宋体" w:eastAsia="宋体" w:cs="宋体"/>
                <w:color w:val="000000"/>
                <w:sz w:val="18"/>
                <w:szCs w:val="18"/>
              </w:rPr>
            </w:pPr>
          </w:p>
        </w:tc>
      </w:tr>
      <w:tr w14:paraId="6A31D8DC">
        <w:tblPrEx>
          <w:tblCellMar>
            <w:top w:w="0" w:type="dxa"/>
            <w:left w:w="108" w:type="dxa"/>
            <w:bottom w:w="0" w:type="dxa"/>
            <w:right w:w="108" w:type="dxa"/>
          </w:tblCellMar>
        </w:tblPrEx>
        <w:trPr>
          <w:cantSplit/>
          <w:trHeight w:val="600" w:hRule="atLeast"/>
        </w:trPr>
        <w:tc>
          <w:tcPr>
            <w:tcW w:w="598" w:type="dxa"/>
            <w:vMerge w:val="continue"/>
            <w:tcBorders>
              <w:top w:val="nil"/>
              <w:left w:val="single" w:color="auto" w:sz="4" w:space="0"/>
              <w:bottom w:val="single" w:color="auto" w:sz="4" w:space="0"/>
              <w:right w:val="single" w:color="auto" w:sz="4" w:space="0"/>
            </w:tcBorders>
            <w:vAlign w:val="center"/>
          </w:tcPr>
          <w:p w14:paraId="375E8D86">
            <w:pPr>
              <w:rPr>
                <w:rFonts w:hint="eastAsia" w:ascii="宋体" w:hAnsi="宋体" w:eastAsia="宋体" w:cs="宋体"/>
                <w:color w:val="000000"/>
                <w:sz w:val="18"/>
                <w:szCs w:val="18"/>
              </w:rPr>
            </w:pPr>
          </w:p>
        </w:tc>
        <w:tc>
          <w:tcPr>
            <w:tcW w:w="707" w:type="dxa"/>
            <w:tcBorders>
              <w:top w:val="nil"/>
              <w:left w:val="nil"/>
              <w:bottom w:val="single" w:color="auto" w:sz="4" w:space="0"/>
              <w:right w:val="single" w:color="auto" w:sz="4" w:space="0"/>
            </w:tcBorders>
            <w:vAlign w:val="center"/>
          </w:tcPr>
          <w:p w14:paraId="416820ED">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效益指标</w:t>
            </w:r>
          </w:p>
        </w:tc>
        <w:tc>
          <w:tcPr>
            <w:tcW w:w="718" w:type="dxa"/>
            <w:tcBorders>
              <w:top w:val="nil"/>
              <w:left w:val="nil"/>
              <w:bottom w:val="single" w:color="auto" w:sz="4" w:space="0"/>
              <w:right w:val="single" w:color="auto" w:sz="4" w:space="0"/>
            </w:tcBorders>
            <w:vAlign w:val="center"/>
          </w:tcPr>
          <w:p w14:paraId="52C3F65E">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社会效益指标</w:t>
            </w:r>
          </w:p>
        </w:tc>
        <w:tc>
          <w:tcPr>
            <w:tcW w:w="1857" w:type="dxa"/>
            <w:gridSpan w:val="2"/>
            <w:tcBorders>
              <w:top w:val="single" w:color="auto" w:sz="4" w:space="0"/>
              <w:left w:val="nil"/>
              <w:bottom w:val="single" w:color="auto" w:sz="4" w:space="0"/>
              <w:right w:val="single" w:color="000000" w:sz="4" w:space="0"/>
            </w:tcBorders>
            <w:noWrap/>
            <w:vAlign w:val="center"/>
          </w:tcPr>
          <w:p w14:paraId="42CF5EEC">
            <w:pPr>
              <w:rPr>
                <w:rFonts w:hint="eastAsia" w:ascii="宋体" w:hAnsi="宋体" w:eastAsia="宋体" w:cs="宋体"/>
                <w:color w:val="000000"/>
                <w:sz w:val="18"/>
                <w:szCs w:val="18"/>
              </w:rPr>
            </w:pPr>
            <w:r>
              <w:rPr>
                <w:rFonts w:hint="eastAsia" w:ascii="宋体" w:hAnsi="宋体" w:eastAsia="宋体" w:cs="宋体"/>
                <w:color w:val="000000"/>
                <w:sz w:val="18"/>
                <w:szCs w:val="18"/>
              </w:rPr>
              <w:t>维护单位良好信用</w:t>
            </w:r>
          </w:p>
        </w:tc>
        <w:tc>
          <w:tcPr>
            <w:tcW w:w="1125" w:type="dxa"/>
            <w:tcBorders>
              <w:top w:val="nil"/>
              <w:left w:val="nil"/>
              <w:bottom w:val="single" w:color="auto" w:sz="4" w:space="0"/>
              <w:right w:val="single" w:color="auto" w:sz="4" w:space="0"/>
            </w:tcBorders>
            <w:vAlign w:val="center"/>
          </w:tcPr>
          <w:p w14:paraId="2879575B">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持续维护</w:t>
            </w:r>
          </w:p>
        </w:tc>
        <w:tc>
          <w:tcPr>
            <w:tcW w:w="1229" w:type="dxa"/>
            <w:tcBorders>
              <w:top w:val="nil"/>
              <w:left w:val="nil"/>
              <w:bottom w:val="single" w:color="auto" w:sz="4" w:space="0"/>
              <w:right w:val="single" w:color="auto" w:sz="4" w:space="0"/>
            </w:tcBorders>
            <w:vAlign w:val="center"/>
          </w:tcPr>
          <w:p w14:paraId="52190CCF">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完全达到预期</w:t>
            </w:r>
          </w:p>
        </w:tc>
        <w:tc>
          <w:tcPr>
            <w:tcW w:w="755" w:type="dxa"/>
            <w:gridSpan w:val="2"/>
            <w:tcBorders>
              <w:top w:val="single" w:color="auto" w:sz="4" w:space="0"/>
              <w:left w:val="nil"/>
              <w:bottom w:val="single" w:color="auto" w:sz="4" w:space="0"/>
              <w:right w:val="single" w:color="000000" w:sz="4" w:space="0"/>
            </w:tcBorders>
            <w:vAlign w:val="center"/>
          </w:tcPr>
          <w:p w14:paraId="260D375E">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20</w:t>
            </w:r>
          </w:p>
        </w:tc>
        <w:tc>
          <w:tcPr>
            <w:tcW w:w="709" w:type="dxa"/>
            <w:gridSpan w:val="2"/>
            <w:tcBorders>
              <w:top w:val="single" w:color="auto" w:sz="4" w:space="0"/>
              <w:left w:val="nil"/>
              <w:bottom w:val="single" w:color="auto" w:sz="4" w:space="0"/>
              <w:right w:val="single" w:color="000000" w:sz="4" w:space="0"/>
            </w:tcBorders>
            <w:vAlign w:val="center"/>
          </w:tcPr>
          <w:p w14:paraId="6411E6A4">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20</w:t>
            </w:r>
          </w:p>
        </w:tc>
        <w:tc>
          <w:tcPr>
            <w:tcW w:w="1984" w:type="dxa"/>
            <w:gridSpan w:val="2"/>
            <w:tcBorders>
              <w:top w:val="single" w:color="auto" w:sz="4" w:space="0"/>
              <w:left w:val="nil"/>
              <w:bottom w:val="single" w:color="auto" w:sz="4" w:space="0"/>
              <w:right w:val="single" w:color="auto" w:sz="4" w:space="0"/>
            </w:tcBorders>
            <w:vAlign w:val="center"/>
          </w:tcPr>
          <w:p w14:paraId="1DCA0516">
            <w:pPr>
              <w:jc w:val="center"/>
              <w:rPr>
                <w:rFonts w:hint="eastAsia" w:ascii="宋体" w:hAnsi="宋体" w:eastAsia="宋体" w:cs="宋体"/>
                <w:color w:val="000000"/>
                <w:sz w:val="18"/>
                <w:szCs w:val="18"/>
              </w:rPr>
            </w:pPr>
          </w:p>
        </w:tc>
      </w:tr>
      <w:tr w14:paraId="69AAA4BE">
        <w:tblPrEx>
          <w:tblCellMar>
            <w:top w:w="0" w:type="dxa"/>
            <w:left w:w="108" w:type="dxa"/>
            <w:bottom w:w="0" w:type="dxa"/>
            <w:right w:w="108" w:type="dxa"/>
          </w:tblCellMar>
        </w:tblPrEx>
        <w:trPr>
          <w:cantSplit/>
          <w:trHeight w:val="600" w:hRule="atLeast"/>
        </w:trPr>
        <w:tc>
          <w:tcPr>
            <w:tcW w:w="598" w:type="dxa"/>
            <w:vMerge w:val="continue"/>
            <w:tcBorders>
              <w:top w:val="nil"/>
              <w:left w:val="single" w:color="auto" w:sz="4" w:space="0"/>
              <w:bottom w:val="single" w:color="auto" w:sz="4" w:space="0"/>
              <w:right w:val="single" w:color="auto" w:sz="4" w:space="0"/>
            </w:tcBorders>
            <w:vAlign w:val="center"/>
          </w:tcPr>
          <w:p w14:paraId="15594EC9">
            <w:pPr>
              <w:rPr>
                <w:rFonts w:hint="eastAsia" w:ascii="宋体" w:hAnsi="宋体" w:eastAsia="宋体" w:cs="宋体"/>
                <w:color w:val="000000"/>
                <w:sz w:val="18"/>
                <w:szCs w:val="18"/>
              </w:rPr>
            </w:pPr>
          </w:p>
        </w:tc>
        <w:tc>
          <w:tcPr>
            <w:tcW w:w="707" w:type="dxa"/>
            <w:tcBorders>
              <w:top w:val="nil"/>
              <w:left w:val="nil"/>
              <w:bottom w:val="single" w:color="auto" w:sz="4" w:space="0"/>
              <w:right w:val="single" w:color="auto" w:sz="4" w:space="0"/>
            </w:tcBorders>
            <w:vAlign w:val="center"/>
          </w:tcPr>
          <w:p w14:paraId="1E3026D9">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满意度指标</w:t>
            </w:r>
          </w:p>
        </w:tc>
        <w:tc>
          <w:tcPr>
            <w:tcW w:w="718" w:type="dxa"/>
            <w:tcBorders>
              <w:top w:val="nil"/>
              <w:left w:val="nil"/>
              <w:bottom w:val="single" w:color="auto" w:sz="4" w:space="0"/>
              <w:right w:val="single" w:color="auto" w:sz="4" w:space="0"/>
            </w:tcBorders>
            <w:vAlign w:val="center"/>
          </w:tcPr>
          <w:p w14:paraId="384F24A8">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满意度指标</w:t>
            </w:r>
          </w:p>
        </w:tc>
        <w:tc>
          <w:tcPr>
            <w:tcW w:w="1857" w:type="dxa"/>
            <w:gridSpan w:val="2"/>
            <w:tcBorders>
              <w:top w:val="single" w:color="auto" w:sz="4" w:space="0"/>
              <w:left w:val="nil"/>
              <w:bottom w:val="single" w:color="auto" w:sz="4" w:space="0"/>
              <w:right w:val="single" w:color="000000" w:sz="4" w:space="0"/>
            </w:tcBorders>
            <w:noWrap/>
            <w:vAlign w:val="center"/>
          </w:tcPr>
          <w:p w14:paraId="4F3E01FE">
            <w:pPr>
              <w:rPr>
                <w:rFonts w:hint="eastAsia" w:ascii="宋体" w:hAnsi="宋体" w:eastAsia="宋体" w:cs="宋体"/>
                <w:color w:val="000000"/>
                <w:sz w:val="18"/>
                <w:szCs w:val="18"/>
              </w:rPr>
            </w:pPr>
            <w:r>
              <w:rPr>
                <w:rFonts w:hint="eastAsia" w:ascii="宋体" w:hAnsi="宋体" w:eastAsia="宋体" w:cs="宋体"/>
                <w:color w:val="000000"/>
                <w:sz w:val="18"/>
                <w:szCs w:val="18"/>
              </w:rPr>
              <w:t>支付对象满意度</w:t>
            </w:r>
          </w:p>
        </w:tc>
        <w:tc>
          <w:tcPr>
            <w:tcW w:w="1125" w:type="dxa"/>
            <w:tcBorders>
              <w:top w:val="nil"/>
              <w:left w:val="nil"/>
              <w:bottom w:val="single" w:color="auto" w:sz="4" w:space="0"/>
              <w:right w:val="single" w:color="auto" w:sz="4" w:space="0"/>
            </w:tcBorders>
            <w:vAlign w:val="center"/>
          </w:tcPr>
          <w:p w14:paraId="18DF599F">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&gt;=95%</w:t>
            </w:r>
          </w:p>
        </w:tc>
        <w:tc>
          <w:tcPr>
            <w:tcW w:w="1229" w:type="dxa"/>
            <w:tcBorders>
              <w:top w:val="nil"/>
              <w:left w:val="nil"/>
              <w:bottom w:val="single" w:color="auto" w:sz="4" w:space="0"/>
              <w:right w:val="single" w:color="auto" w:sz="4" w:space="0"/>
            </w:tcBorders>
            <w:vAlign w:val="center"/>
          </w:tcPr>
          <w:p w14:paraId="4B7DF543">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=95%</w:t>
            </w:r>
          </w:p>
        </w:tc>
        <w:tc>
          <w:tcPr>
            <w:tcW w:w="755" w:type="dxa"/>
            <w:gridSpan w:val="2"/>
            <w:tcBorders>
              <w:top w:val="single" w:color="auto" w:sz="4" w:space="0"/>
              <w:left w:val="nil"/>
              <w:bottom w:val="single" w:color="auto" w:sz="4" w:space="0"/>
              <w:right w:val="single" w:color="000000" w:sz="4" w:space="0"/>
            </w:tcBorders>
            <w:vAlign w:val="center"/>
          </w:tcPr>
          <w:p w14:paraId="3A36F6A3">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10</w:t>
            </w:r>
          </w:p>
        </w:tc>
        <w:tc>
          <w:tcPr>
            <w:tcW w:w="709" w:type="dxa"/>
            <w:gridSpan w:val="2"/>
            <w:tcBorders>
              <w:top w:val="single" w:color="auto" w:sz="4" w:space="0"/>
              <w:left w:val="nil"/>
              <w:bottom w:val="single" w:color="auto" w:sz="4" w:space="0"/>
              <w:right w:val="single" w:color="000000" w:sz="4" w:space="0"/>
            </w:tcBorders>
            <w:vAlign w:val="center"/>
          </w:tcPr>
          <w:p w14:paraId="69A0A93F">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10</w:t>
            </w:r>
          </w:p>
        </w:tc>
        <w:tc>
          <w:tcPr>
            <w:tcW w:w="1984" w:type="dxa"/>
            <w:gridSpan w:val="2"/>
            <w:tcBorders>
              <w:top w:val="single" w:color="auto" w:sz="4" w:space="0"/>
              <w:left w:val="nil"/>
              <w:bottom w:val="single" w:color="auto" w:sz="4" w:space="0"/>
              <w:right w:val="single" w:color="auto" w:sz="4" w:space="0"/>
            </w:tcBorders>
            <w:vAlign w:val="center"/>
          </w:tcPr>
          <w:p w14:paraId="5389D484">
            <w:pPr>
              <w:jc w:val="center"/>
              <w:rPr>
                <w:rFonts w:hint="eastAsia" w:ascii="宋体" w:hAnsi="宋体" w:eastAsia="宋体" w:cs="宋体"/>
                <w:color w:val="000000"/>
                <w:sz w:val="18"/>
                <w:szCs w:val="18"/>
              </w:rPr>
            </w:pPr>
          </w:p>
        </w:tc>
      </w:tr>
      <w:tr w14:paraId="47809CFD">
        <w:tblPrEx>
          <w:tblCellMar>
            <w:top w:w="0" w:type="dxa"/>
            <w:left w:w="108" w:type="dxa"/>
            <w:bottom w:w="0" w:type="dxa"/>
            <w:right w:w="108" w:type="dxa"/>
          </w:tblCellMar>
        </w:tblPrEx>
        <w:trPr>
          <w:cantSplit/>
          <w:trHeight w:val="500" w:hRule="atLeast"/>
        </w:trPr>
        <w:tc>
          <w:tcPr>
            <w:tcW w:w="6234" w:type="dxa"/>
            <w:gridSpan w:val="7"/>
            <w:tcBorders>
              <w:top w:val="single" w:color="auto" w:sz="4" w:space="0"/>
              <w:left w:val="single" w:color="auto" w:sz="4" w:space="0"/>
              <w:bottom w:val="single" w:color="auto" w:sz="4" w:space="0"/>
              <w:right w:val="single" w:color="auto" w:sz="4" w:space="0"/>
            </w:tcBorders>
            <w:vAlign w:val="center"/>
          </w:tcPr>
          <w:p w14:paraId="527EF03A">
            <w:pPr>
              <w:jc w:val="center"/>
              <w:rPr>
                <w:rFonts w:hint="eastAsia" w:ascii="宋体" w:hAnsi="宋体" w:eastAsia="宋体" w:cs="宋体"/>
                <w:b/>
                <w:bCs/>
                <w:color w:val="000000"/>
                <w:sz w:val="18"/>
                <w:szCs w:val="18"/>
              </w:rPr>
            </w:pPr>
            <w:r>
              <w:rPr>
                <w:rFonts w:hint="eastAsia" w:ascii="宋体" w:hAnsi="宋体" w:eastAsia="宋体" w:cs="宋体"/>
                <w:b/>
                <w:bCs/>
                <w:color w:val="000000"/>
                <w:sz w:val="18"/>
                <w:szCs w:val="18"/>
              </w:rPr>
              <w:t>总分</w:t>
            </w:r>
          </w:p>
        </w:tc>
        <w:tc>
          <w:tcPr>
            <w:tcW w:w="755" w:type="dxa"/>
            <w:gridSpan w:val="2"/>
            <w:tcBorders>
              <w:top w:val="single" w:color="auto" w:sz="4" w:space="0"/>
              <w:left w:val="nil"/>
              <w:bottom w:val="single" w:color="auto" w:sz="4" w:space="0"/>
              <w:right w:val="single" w:color="auto" w:sz="4" w:space="0"/>
            </w:tcBorders>
            <w:vAlign w:val="center"/>
          </w:tcPr>
          <w:p w14:paraId="6AD2CDCA">
            <w:pPr>
              <w:jc w:val="center"/>
              <w:rPr>
                <w:rFonts w:hint="eastAsia" w:ascii="宋体" w:hAnsi="宋体" w:eastAsia="宋体" w:cs="宋体"/>
                <w:b/>
                <w:bCs/>
                <w:color w:val="000000"/>
                <w:sz w:val="18"/>
                <w:szCs w:val="18"/>
              </w:rPr>
            </w:pPr>
            <w:r>
              <w:rPr>
                <w:rFonts w:hint="eastAsia" w:ascii="宋体" w:hAnsi="宋体" w:eastAsia="宋体" w:cs="宋体"/>
                <w:b/>
                <w:bCs/>
                <w:color w:val="000000"/>
                <w:sz w:val="18"/>
                <w:szCs w:val="18"/>
              </w:rPr>
              <w:t>100</w:t>
            </w:r>
          </w:p>
        </w:tc>
        <w:tc>
          <w:tcPr>
            <w:tcW w:w="709" w:type="dxa"/>
            <w:gridSpan w:val="2"/>
            <w:tcBorders>
              <w:top w:val="single" w:color="auto" w:sz="4" w:space="0"/>
              <w:left w:val="nil"/>
              <w:bottom w:val="single" w:color="auto" w:sz="4" w:space="0"/>
              <w:right w:val="single" w:color="auto" w:sz="4" w:space="0"/>
            </w:tcBorders>
            <w:vAlign w:val="center"/>
          </w:tcPr>
          <w:p w14:paraId="342DADBA">
            <w:pPr>
              <w:jc w:val="center"/>
              <w:rPr>
                <w:rFonts w:hint="eastAsia" w:ascii="宋体" w:hAnsi="宋体" w:eastAsia="宋体" w:cs="宋体"/>
                <w:b/>
                <w:bCs/>
                <w:color w:val="000000"/>
                <w:sz w:val="18"/>
                <w:szCs w:val="18"/>
              </w:rPr>
            </w:pPr>
            <w:r>
              <w:rPr>
                <w:rFonts w:hint="eastAsia" w:ascii="宋体" w:hAnsi="宋体" w:eastAsia="宋体" w:cs="宋体"/>
                <w:b/>
                <w:bCs/>
                <w:color w:val="000000"/>
                <w:sz w:val="18"/>
                <w:szCs w:val="18"/>
              </w:rPr>
              <w:t>100.00分</w:t>
            </w:r>
          </w:p>
        </w:tc>
        <w:tc>
          <w:tcPr>
            <w:tcW w:w="1984" w:type="dxa"/>
            <w:gridSpan w:val="2"/>
            <w:tcBorders>
              <w:top w:val="single" w:color="auto" w:sz="4" w:space="0"/>
              <w:left w:val="nil"/>
              <w:bottom w:val="single" w:color="auto" w:sz="4" w:space="0"/>
              <w:right w:val="single" w:color="auto" w:sz="4" w:space="0"/>
            </w:tcBorders>
            <w:vAlign w:val="center"/>
          </w:tcPr>
          <w:p w14:paraId="576E8F69">
            <w:pPr>
              <w:jc w:val="center"/>
              <w:rPr>
                <w:rFonts w:hint="eastAsia" w:ascii="宋体" w:hAnsi="宋体" w:eastAsia="宋体" w:cs="宋体"/>
                <w:b/>
                <w:bCs/>
                <w:color w:val="000000"/>
                <w:sz w:val="18"/>
                <w:szCs w:val="18"/>
              </w:rPr>
            </w:pPr>
          </w:p>
        </w:tc>
      </w:tr>
    </w:tbl>
    <w:p w14:paraId="2C137AB1">
      <w:pPr>
        <w:jc w:val="center"/>
        <w:rPr>
          <w:rFonts w:hint="eastAsia" w:ascii="宋体" w:hAnsi="宋体" w:eastAsia="宋体" w:cs="宋体"/>
          <w:b/>
          <w:bCs/>
          <w:sz w:val="28"/>
          <w:szCs w:val="28"/>
        </w:rPr>
      </w:pPr>
      <w:r>
        <w:rPr>
          <w:rFonts w:hint="eastAsia" w:ascii="宋体" w:hAnsi="宋体" w:eastAsia="宋体" w:cs="宋体"/>
          <w:b/>
          <w:bCs/>
          <w:sz w:val="18"/>
          <w:szCs w:val="18"/>
        </w:rPr>
        <w:br w:type="page"/>
      </w:r>
      <w:r>
        <w:rPr>
          <w:rFonts w:hint="eastAsia" w:ascii="宋体" w:hAnsi="宋体" w:eastAsia="宋体" w:cs="宋体"/>
          <w:b/>
          <w:bCs/>
          <w:sz w:val="28"/>
          <w:szCs w:val="28"/>
        </w:rPr>
        <w:t>项目支出绩效自评表</w:t>
      </w:r>
    </w:p>
    <w:p w14:paraId="0256978B">
      <w:pPr>
        <w:jc w:val="center"/>
        <w:rPr>
          <w:rFonts w:hint="eastAsia" w:ascii="宋体" w:hAnsi="宋体" w:eastAsia="宋体" w:cs="宋体"/>
          <w:b/>
          <w:bCs/>
          <w:sz w:val="18"/>
          <w:szCs w:val="18"/>
        </w:rPr>
      </w:pPr>
      <w:r>
        <w:rPr>
          <w:rFonts w:hint="eastAsia" w:ascii="宋体" w:hAnsi="宋体" w:eastAsia="宋体" w:cs="宋体"/>
          <w:b/>
          <w:bCs/>
          <w:sz w:val="18"/>
          <w:szCs w:val="18"/>
        </w:rPr>
        <w:t>（2024年度）</w:t>
      </w:r>
    </w:p>
    <w:tbl>
      <w:tblPr>
        <w:tblStyle w:val="12"/>
        <w:tblW w:w="9682" w:type="dxa"/>
        <w:tblInd w:w="-502" w:type="dxa"/>
        <w:tblLayout w:type="fixed"/>
        <w:tblCellMar>
          <w:top w:w="0" w:type="dxa"/>
          <w:left w:w="108" w:type="dxa"/>
          <w:bottom w:w="0" w:type="dxa"/>
          <w:right w:w="108" w:type="dxa"/>
        </w:tblCellMar>
      </w:tblPr>
      <w:tblGrid>
        <w:gridCol w:w="598"/>
        <w:gridCol w:w="707"/>
        <w:gridCol w:w="718"/>
        <w:gridCol w:w="618"/>
        <w:gridCol w:w="1239"/>
        <w:gridCol w:w="1125"/>
        <w:gridCol w:w="1229"/>
        <w:gridCol w:w="46"/>
        <w:gridCol w:w="709"/>
        <w:gridCol w:w="425"/>
        <w:gridCol w:w="284"/>
        <w:gridCol w:w="709"/>
        <w:gridCol w:w="1275"/>
      </w:tblGrid>
      <w:tr w14:paraId="0DE3B554">
        <w:tblPrEx>
          <w:tblCellMar>
            <w:top w:w="0" w:type="dxa"/>
            <w:left w:w="108" w:type="dxa"/>
            <w:bottom w:w="0" w:type="dxa"/>
            <w:right w:w="108" w:type="dxa"/>
          </w:tblCellMar>
        </w:tblPrEx>
        <w:trPr>
          <w:cantSplit/>
          <w:trHeight w:val="500" w:hRule="atLeast"/>
        </w:trPr>
        <w:tc>
          <w:tcPr>
            <w:tcW w:w="1305" w:type="dxa"/>
            <w:gridSpan w:val="2"/>
            <w:tcBorders>
              <w:top w:val="single" w:color="auto" w:sz="4" w:space="0"/>
              <w:left w:val="single" w:color="auto" w:sz="4" w:space="0"/>
              <w:bottom w:val="single" w:color="auto" w:sz="4" w:space="0"/>
              <w:right w:val="single" w:color="auto" w:sz="4" w:space="0"/>
            </w:tcBorders>
            <w:vAlign w:val="center"/>
          </w:tcPr>
          <w:p w14:paraId="4F006EA9">
            <w:pPr>
              <w:jc w:val="center"/>
              <w:rPr>
                <w:rFonts w:hint="eastAsia" w:ascii="宋体" w:hAnsi="宋体" w:eastAsia="宋体" w:cs="宋体"/>
                <w:b/>
                <w:bCs/>
                <w:color w:val="000000"/>
                <w:sz w:val="18"/>
                <w:szCs w:val="18"/>
              </w:rPr>
            </w:pPr>
            <w:r>
              <w:rPr>
                <w:rFonts w:hint="eastAsia" w:ascii="宋体" w:hAnsi="宋体" w:eastAsia="宋体" w:cs="宋体"/>
                <w:b/>
                <w:bCs/>
                <w:color w:val="000000"/>
                <w:sz w:val="18"/>
                <w:szCs w:val="18"/>
              </w:rPr>
              <w:t>项目名称</w:t>
            </w:r>
          </w:p>
        </w:tc>
        <w:tc>
          <w:tcPr>
            <w:tcW w:w="8377" w:type="dxa"/>
            <w:gridSpan w:val="11"/>
            <w:tcBorders>
              <w:top w:val="single" w:color="auto" w:sz="4" w:space="0"/>
              <w:left w:val="nil"/>
              <w:bottom w:val="single" w:color="auto" w:sz="4" w:space="0"/>
              <w:right w:val="single" w:color="000000" w:sz="4" w:space="0"/>
            </w:tcBorders>
            <w:vAlign w:val="center"/>
          </w:tcPr>
          <w:p w14:paraId="5EA227F4">
            <w:pPr>
              <w:jc w:val="center"/>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刚性支出—政法委联合办公楼运转经费</w:t>
            </w:r>
          </w:p>
        </w:tc>
      </w:tr>
      <w:tr w14:paraId="3DBF92E5">
        <w:tblPrEx>
          <w:tblCellMar>
            <w:top w:w="0" w:type="dxa"/>
            <w:left w:w="108" w:type="dxa"/>
            <w:bottom w:w="0" w:type="dxa"/>
            <w:right w:w="108" w:type="dxa"/>
          </w:tblCellMar>
        </w:tblPrEx>
        <w:trPr>
          <w:cantSplit/>
          <w:trHeight w:val="500" w:hRule="atLeast"/>
        </w:trPr>
        <w:tc>
          <w:tcPr>
            <w:tcW w:w="1305" w:type="dxa"/>
            <w:gridSpan w:val="2"/>
            <w:tcBorders>
              <w:top w:val="single" w:color="auto" w:sz="4" w:space="0"/>
              <w:left w:val="single" w:color="auto" w:sz="4" w:space="0"/>
              <w:bottom w:val="single" w:color="auto" w:sz="4" w:space="0"/>
              <w:right w:val="single" w:color="auto" w:sz="4" w:space="0"/>
            </w:tcBorders>
            <w:vAlign w:val="center"/>
          </w:tcPr>
          <w:p w14:paraId="73B00A64">
            <w:pPr>
              <w:jc w:val="center"/>
              <w:rPr>
                <w:rFonts w:hint="eastAsia" w:ascii="宋体" w:hAnsi="宋体" w:eastAsia="宋体" w:cs="宋体"/>
                <w:b/>
                <w:bCs/>
                <w:color w:val="000000"/>
                <w:sz w:val="18"/>
                <w:szCs w:val="18"/>
              </w:rPr>
            </w:pPr>
            <w:r>
              <w:rPr>
                <w:rFonts w:hint="eastAsia" w:ascii="宋体" w:hAnsi="宋体" w:eastAsia="宋体" w:cs="宋体"/>
                <w:b/>
                <w:bCs/>
                <w:color w:val="000000"/>
                <w:sz w:val="18"/>
                <w:szCs w:val="18"/>
              </w:rPr>
              <w:t>主管部门</w:t>
            </w:r>
          </w:p>
        </w:tc>
        <w:tc>
          <w:tcPr>
            <w:tcW w:w="3700" w:type="dxa"/>
            <w:gridSpan w:val="4"/>
            <w:tcBorders>
              <w:top w:val="single" w:color="auto" w:sz="4" w:space="0"/>
              <w:left w:val="nil"/>
              <w:bottom w:val="single" w:color="auto" w:sz="4" w:space="0"/>
              <w:right w:val="single" w:color="000000" w:sz="4" w:space="0"/>
            </w:tcBorders>
            <w:vAlign w:val="center"/>
          </w:tcPr>
          <w:p w14:paraId="438B84FB">
            <w:pPr>
              <w:jc w:val="center"/>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 xml:space="preserve"> 中国共产党乌鲁木齐市达坂城区政法委员会办公室</w:t>
            </w:r>
          </w:p>
        </w:tc>
        <w:tc>
          <w:tcPr>
            <w:tcW w:w="1275" w:type="dxa"/>
            <w:gridSpan w:val="2"/>
            <w:tcBorders>
              <w:top w:val="nil"/>
              <w:left w:val="nil"/>
              <w:bottom w:val="single" w:color="auto" w:sz="4" w:space="0"/>
              <w:right w:val="single" w:color="000000" w:sz="4" w:space="0"/>
            </w:tcBorders>
            <w:vAlign w:val="center"/>
          </w:tcPr>
          <w:p w14:paraId="5A796554">
            <w:pPr>
              <w:jc w:val="center"/>
              <w:rPr>
                <w:rFonts w:hint="eastAsia" w:ascii="宋体" w:hAnsi="宋体" w:eastAsia="宋体" w:cs="宋体"/>
                <w:color w:val="000000"/>
                <w:sz w:val="18"/>
                <w:szCs w:val="18"/>
              </w:rPr>
            </w:pPr>
            <w:r>
              <w:rPr>
                <w:rFonts w:hint="eastAsia" w:ascii="宋体" w:hAnsi="宋体" w:eastAsia="宋体" w:cs="宋体"/>
                <w:b/>
                <w:bCs/>
                <w:color w:val="000000"/>
                <w:sz w:val="18"/>
                <w:szCs w:val="18"/>
              </w:rPr>
              <w:t>实施单位</w:t>
            </w:r>
          </w:p>
        </w:tc>
        <w:tc>
          <w:tcPr>
            <w:tcW w:w="3402" w:type="dxa"/>
            <w:gridSpan w:val="5"/>
            <w:tcBorders>
              <w:top w:val="nil"/>
              <w:left w:val="nil"/>
              <w:bottom w:val="single" w:color="auto" w:sz="4" w:space="0"/>
              <w:right w:val="single" w:color="000000" w:sz="4" w:space="0"/>
            </w:tcBorders>
            <w:vAlign w:val="center"/>
          </w:tcPr>
          <w:p w14:paraId="7E3120AD">
            <w:pPr>
              <w:jc w:val="center"/>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中国共产党乌鲁木齐市达坂城区政法委员会办公室</w:t>
            </w:r>
          </w:p>
        </w:tc>
      </w:tr>
      <w:tr w14:paraId="3DD8A16C">
        <w:tblPrEx>
          <w:tblCellMar>
            <w:top w:w="0" w:type="dxa"/>
            <w:left w:w="108" w:type="dxa"/>
            <w:bottom w:w="0" w:type="dxa"/>
            <w:right w:w="108" w:type="dxa"/>
          </w:tblCellMar>
        </w:tblPrEx>
        <w:trPr>
          <w:cantSplit/>
          <w:trHeight w:val="500" w:hRule="atLeast"/>
        </w:trPr>
        <w:tc>
          <w:tcPr>
            <w:tcW w:w="1305" w:type="dxa"/>
            <w:gridSpan w:val="2"/>
            <w:vMerge w:val="restart"/>
            <w:tcBorders>
              <w:top w:val="single" w:color="auto" w:sz="4" w:space="0"/>
              <w:left w:val="single" w:color="auto" w:sz="4" w:space="0"/>
              <w:bottom w:val="single" w:color="auto" w:sz="4" w:space="0"/>
              <w:right w:val="single" w:color="auto" w:sz="4" w:space="0"/>
            </w:tcBorders>
            <w:vAlign w:val="center"/>
          </w:tcPr>
          <w:p w14:paraId="79733361">
            <w:pPr>
              <w:jc w:val="center"/>
              <w:rPr>
                <w:rFonts w:hint="eastAsia" w:ascii="宋体" w:hAnsi="宋体" w:eastAsia="宋体" w:cs="宋体"/>
                <w:b/>
                <w:bCs/>
                <w:color w:val="000000"/>
                <w:sz w:val="18"/>
                <w:szCs w:val="18"/>
              </w:rPr>
            </w:pPr>
            <w:r>
              <w:rPr>
                <w:rFonts w:hint="eastAsia" w:ascii="宋体" w:hAnsi="宋体" w:eastAsia="宋体" w:cs="宋体"/>
                <w:b/>
                <w:bCs/>
                <w:color w:val="000000"/>
                <w:sz w:val="18"/>
                <w:szCs w:val="18"/>
              </w:rPr>
              <w:t>项目资金（万元）</w:t>
            </w:r>
          </w:p>
        </w:tc>
        <w:tc>
          <w:tcPr>
            <w:tcW w:w="1336" w:type="dxa"/>
            <w:gridSpan w:val="2"/>
            <w:tcBorders>
              <w:top w:val="single" w:color="auto" w:sz="4" w:space="0"/>
              <w:left w:val="nil"/>
              <w:bottom w:val="single" w:color="auto" w:sz="4" w:space="0"/>
              <w:right w:val="single" w:color="auto" w:sz="4" w:space="0"/>
            </w:tcBorders>
            <w:vAlign w:val="center"/>
          </w:tcPr>
          <w:p w14:paraId="5387086C">
            <w:pPr>
              <w:jc w:val="center"/>
              <w:rPr>
                <w:rFonts w:hint="eastAsia" w:ascii="宋体" w:hAnsi="宋体" w:eastAsia="宋体" w:cs="宋体"/>
                <w:color w:val="000000"/>
                <w:sz w:val="18"/>
                <w:szCs w:val="18"/>
              </w:rPr>
            </w:pPr>
          </w:p>
        </w:tc>
        <w:tc>
          <w:tcPr>
            <w:tcW w:w="1239" w:type="dxa"/>
            <w:tcBorders>
              <w:top w:val="single" w:color="auto" w:sz="4" w:space="0"/>
              <w:left w:val="nil"/>
              <w:bottom w:val="single" w:color="auto" w:sz="4" w:space="0"/>
              <w:right w:val="single" w:color="000000" w:sz="4" w:space="0"/>
            </w:tcBorders>
            <w:vAlign w:val="center"/>
          </w:tcPr>
          <w:p w14:paraId="7E5AFE8F">
            <w:pPr>
              <w:jc w:val="center"/>
              <w:rPr>
                <w:rFonts w:hint="eastAsia" w:ascii="宋体" w:hAnsi="宋体" w:eastAsia="宋体" w:cs="宋体"/>
                <w:b/>
                <w:bCs/>
                <w:color w:val="000000"/>
                <w:sz w:val="18"/>
                <w:szCs w:val="18"/>
              </w:rPr>
            </w:pPr>
            <w:r>
              <w:rPr>
                <w:rFonts w:hint="eastAsia" w:ascii="宋体" w:hAnsi="宋体" w:eastAsia="宋体" w:cs="宋体"/>
                <w:b/>
                <w:bCs/>
                <w:color w:val="000000"/>
                <w:sz w:val="18"/>
                <w:szCs w:val="18"/>
              </w:rPr>
              <w:t>年初预算数</w:t>
            </w:r>
          </w:p>
        </w:tc>
        <w:tc>
          <w:tcPr>
            <w:tcW w:w="1125" w:type="dxa"/>
            <w:tcBorders>
              <w:top w:val="nil"/>
              <w:left w:val="nil"/>
              <w:bottom w:val="single" w:color="auto" w:sz="4" w:space="0"/>
              <w:right w:val="single" w:color="auto" w:sz="4" w:space="0"/>
            </w:tcBorders>
            <w:vAlign w:val="center"/>
          </w:tcPr>
          <w:p w14:paraId="03E4A04D">
            <w:pPr>
              <w:jc w:val="center"/>
              <w:rPr>
                <w:rFonts w:hint="eastAsia" w:ascii="宋体" w:hAnsi="宋体" w:eastAsia="宋体" w:cs="宋体"/>
                <w:b/>
                <w:bCs/>
                <w:color w:val="000000"/>
                <w:sz w:val="18"/>
                <w:szCs w:val="18"/>
              </w:rPr>
            </w:pPr>
            <w:r>
              <w:rPr>
                <w:rFonts w:hint="eastAsia" w:ascii="宋体" w:hAnsi="宋体" w:eastAsia="宋体" w:cs="宋体"/>
                <w:b/>
                <w:bCs/>
                <w:color w:val="000000"/>
                <w:sz w:val="18"/>
                <w:szCs w:val="18"/>
              </w:rPr>
              <w:t>全年预算数</w:t>
            </w:r>
          </w:p>
        </w:tc>
        <w:tc>
          <w:tcPr>
            <w:tcW w:w="1275" w:type="dxa"/>
            <w:gridSpan w:val="2"/>
            <w:tcBorders>
              <w:top w:val="single" w:color="auto" w:sz="4" w:space="0"/>
              <w:left w:val="nil"/>
              <w:bottom w:val="single" w:color="auto" w:sz="4" w:space="0"/>
              <w:right w:val="single" w:color="auto" w:sz="4" w:space="0"/>
            </w:tcBorders>
            <w:vAlign w:val="center"/>
          </w:tcPr>
          <w:p w14:paraId="74E65042">
            <w:pPr>
              <w:jc w:val="center"/>
              <w:rPr>
                <w:rFonts w:hint="eastAsia" w:ascii="宋体" w:hAnsi="宋体" w:eastAsia="宋体" w:cs="宋体"/>
                <w:b/>
                <w:bCs/>
                <w:color w:val="000000"/>
                <w:sz w:val="18"/>
                <w:szCs w:val="18"/>
              </w:rPr>
            </w:pPr>
            <w:r>
              <w:rPr>
                <w:rFonts w:hint="eastAsia" w:ascii="宋体" w:hAnsi="宋体" w:eastAsia="宋体" w:cs="宋体"/>
                <w:b/>
                <w:bCs/>
                <w:color w:val="000000"/>
                <w:sz w:val="18"/>
                <w:szCs w:val="18"/>
              </w:rPr>
              <w:t>全年执行数</w:t>
            </w:r>
          </w:p>
        </w:tc>
        <w:tc>
          <w:tcPr>
            <w:tcW w:w="1134" w:type="dxa"/>
            <w:gridSpan w:val="2"/>
            <w:tcBorders>
              <w:top w:val="single" w:color="auto" w:sz="4" w:space="0"/>
              <w:left w:val="nil"/>
              <w:bottom w:val="single" w:color="auto" w:sz="4" w:space="0"/>
              <w:right w:val="single" w:color="auto" w:sz="4" w:space="0"/>
            </w:tcBorders>
            <w:vAlign w:val="center"/>
          </w:tcPr>
          <w:p w14:paraId="42A1ED36">
            <w:pPr>
              <w:jc w:val="center"/>
              <w:rPr>
                <w:rFonts w:hint="eastAsia" w:ascii="宋体" w:hAnsi="宋体" w:eastAsia="宋体" w:cs="宋体"/>
                <w:b/>
                <w:bCs/>
                <w:color w:val="000000"/>
                <w:sz w:val="18"/>
                <w:szCs w:val="18"/>
              </w:rPr>
            </w:pPr>
            <w:r>
              <w:rPr>
                <w:rFonts w:hint="eastAsia" w:ascii="宋体" w:hAnsi="宋体" w:eastAsia="宋体" w:cs="宋体"/>
                <w:b/>
                <w:bCs/>
                <w:color w:val="000000"/>
                <w:sz w:val="18"/>
                <w:szCs w:val="18"/>
              </w:rPr>
              <w:t>分值</w:t>
            </w:r>
          </w:p>
        </w:tc>
        <w:tc>
          <w:tcPr>
            <w:tcW w:w="993" w:type="dxa"/>
            <w:gridSpan w:val="2"/>
            <w:tcBorders>
              <w:top w:val="single" w:color="auto" w:sz="4" w:space="0"/>
              <w:left w:val="nil"/>
              <w:bottom w:val="single" w:color="auto" w:sz="4" w:space="0"/>
              <w:right w:val="single" w:color="auto" w:sz="4" w:space="0"/>
            </w:tcBorders>
            <w:vAlign w:val="center"/>
          </w:tcPr>
          <w:p w14:paraId="5916068F">
            <w:pPr>
              <w:jc w:val="center"/>
              <w:rPr>
                <w:rFonts w:hint="eastAsia" w:ascii="宋体" w:hAnsi="宋体" w:eastAsia="宋体" w:cs="宋体"/>
                <w:b/>
                <w:bCs/>
                <w:color w:val="000000"/>
                <w:sz w:val="18"/>
                <w:szCs w:val="18"/>
              </w:rPr>
            </w:pPr>
            <w:r>
              <w:rPr>
                <w:rFonts w:hint="eastAsia" w:ascii="宋体" w:hAnsi="宋体" w:eastAsia="宋体" w:cs="宋体"/>
                <w:b/>
                <w:bCs/>
                <w:color w:val="000000"/>
                <w:sz w:val="18"/>
                <w:szCs w:val="18"/>
              </w:rPr>
              <w:t>执行率</w:t>
            </w:r>
          </w:p>
        </w:tc>
        <w:tc>
          <w:tcPr>
            <w:tcW w:w="1275" w:type="dxa"/>
            <w:tcBorders>
              <w:top w:val="nil"/>
              <w:left w:val="nil"/>
              <w:bottom w:val="single" w:color="auto" w:sz="4" w:space="0"/>
              <w:right w:val="single" w:color="auto" w:sz="4" w:space="0"/>
            </w:tcBorders>
            <w:vAlign w:val="center"/>
          </w:tcPr>
          <w:p w14:paraId="3D0682E7">
            <w:pPr>
              <w:jc w:val="center"/>
              <w:rPr>
                <w:rFonts w:hint="eastAsia" w:ascii="宋体" w:hAnsi="宋体" w:eastAsia="宋体" w:cs="宋体"/>
                <w:b/>
                <w:bCs/>
                <w:color w:val="000000"/>
                <w:sz w:val="18"/>
                <w:szCs w:val="18"/>
              </w:rPr>
            </w:pPr>
            <w:r>
              <w:rPr>
                <w:rFonts w:hint="eastAsia" w:ascii="宋体" w:hAnsi="宋体" w:eastAsia="宋体" w:cs="宋体"/>
                <w:b/>
                <w:bCs/>
                <w:color w:val="000000"/>
                <w:sz w:val="18"/>
                <w:szCs w:val="18"/>
              </w:rPr>
              <w:t>得分</w:t>
            </w:r>
          </w:p>
        </w:tc>
      </w:tr>
      <w:tr w14:paraId="282230C4">
        <w:tblPrEx>
          <w:tblCellMar>
            <w:top w:w="0" w:type="dxa"/>
            <w:left w:w="108" w:type="dxa"/>
            <w:bottom w:w="0" w:type="dxa"/>
            <w:right w:w="108" w:type="dxa"/>
          </w:tblCellMar>
        </w:tblPrEx>
        <w:trPr>
          <w:cantSplit/>
          <w:trHeight w:val="500" w:hRule="atLeast"/>
        </w:trPr>
        <w:tc>
          <w:tcPr>
            <w:tcW w:w="1305" w:type="dxa"/>
            <w:gridSpan w:val="2"/>
            <w:vMerge w:val="continue"/>
            <w:tcBorders>
              <w:top w:val="single" w:color="auto" w:sz="4" w:space="0"/>
              <w:left w:val="single" w:color="auto" w:sz="4" w:space="0"/>
              <w:bottom w:val="single" w:color="auto" w:sz="4" w:space="0"/>
              <w:right w:val="single" w:color="auto" w:sz="4" w:space="0"/>
            </w:tcBorders>
            <w:vAlign w:val="center"/>
          </w:tcPr>
          <w:p w14:paraId="3AB58D58">
            <w:pPr>
              <w:rPr>
                <w:rFonts w:hint="eastAsia" w:ascii="宋体" w:hAnsi="宋体" w:eastAsia="宋体" w:cs="宋体"/>
                <w:color w:val="000000"/>
                <w:sz w:val="18"/>
                <w:szCs w:val="18"/>
              </w:rPr>
            </w:pPr>
          </w:p>
        </w:tc>
        <w:tc>
          <w:tcPr>
            <w:tcW w:w="1336" w:type="dxa"/>
            <w:gridSpan w:val="2"/>
            <w:tcBorders>
              <w:top w:val="single" w:color="auto" w:sz="4" w:space="0"/>
              <w:left w:val="nil"/>
              <w:bottom w:val="single" w:color="auto" w:sz="4" w:space="0"/>
              <w:right w:val="single" w:color="auto" w:sz="4" w:space="0"/>
            </w:tcBorders>
            <w:vAlign w:val="center"/>
          </w:tcPr>
          <w:p w14:paraId="61FC2C07">
            <w:pPr>
              <w:jc w:val="center"/>
              <w:rPr>
                <w:rFonts w:hint="eastAsia" w:ascii="宋体" w:hAnsi="宋体" w:eastAsia="宋体" w:cs="宋体"/>
                <w:b/>
                <w:bCs/>
                <w:color w:val="000000"/>
                <w:sz w:val="18"/>
                <w:szCs w:val="18"/>
              </w:rPr>
            </w:pPr>
            <w:r>
              <w:rPr>
                <w:rFonts w:hint="eastAsia" w:ascii="宋体" w:hAnsi="宋体" w:eastAsia="宋体" w:cs="宋体"/>
                <w:b/>
                <w:bCs/>
                <w:color w:val="000000"/>
                <w:sz w:val="18"/>
                <w:szCs w:val="18"/>
              </w:rPr>
              <w:t>年度资金总额</w:t>
            </w:r>
          </w:p>
        </w:tc>
        <w:tc>
          <w:tcPr>
            <w:tcW w:w="1239" w:type="dxa"/>
            <w:tcBorders>
              <w:top w:val="single" w:color="auto" w:sz="4" w:space="0"/>
              <w:left w:val="nil"/>
              <w:bottom w:val="single" w:color="auto" w:sz="4" w:space="0"/>
              <w:right w:val="single" w:color="000000" w:sz="4" w:space="0"/>
            </w:tcBorders>
            <w:noWrap/>
            <w:vAlign w:val="center"/>
          </w:tcPr>
          <w:p w14:paraId="2231F830">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19.00</w:t>
            </w:r>
          </w:p>
        </w:tc>
        <w:tc>
          <w:tcPr>
            <w:tcW w:w="1125" w:type="dxa"/>
            <w:tcBorders>
              <w:top w:val="nil"/>
              <w:left w:val="nil"/>
              <w:bottom w:val="single" w:color="auto" w:sz="4" w:space="0"/>
              <w:right w:val="single" w:color="auto" w:sz="4" w:space="0"/>
            </w:tcBorders>
            <w:noWrap/>
            <w:vAlign w:val="center"/>
          </w:tcPr>
          <w:p w14:paraId="720B15A3">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19.00</w:t>
            </w:r>
          </w:p>
        </w:tc>
        <w:tc>
          <w:tcPr>
            <w:tcW w:w="1275" w:type="dxa"/>
            <w:gridSpan w:val="2"/>
            <w:tcBorders>
              <w:top w:val="single" w:color="auto" w:sz="4" w:space="0"/>
              <w:left w:val="nil"/>
              <w:bottom w:val="single" w:color="auto" w:sz="4" w:space="0"/>
              <w:right w:val="single" w:color="000000" w:sz="4" w:space="0"/>
            </w:tcBorders>
            <w:noWrap/>
            <w:vAlign w:val="center"/>
          </w:tcPr>
          <w:p w14:paraId="2E4A0401">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16.61</w:t>
            </w:r>
          </w:p>
        </w:tc>
        <w:tc>
          <w:tcPr>
            <w:tcW w:w="1134" w:type="dxa"/>
            <w:gridSpan w:val="2"/>
            <w:tcBorders>
              <w:top w:val="single" w:color="auto" w:sz="4" w:space="0"/>
              <w:left w:val="nil"/>
              <w:bottom w:val="single" w:color="auto" w:sz="4" w:space="0"/>
              <w:right w:val="single" w:color="auto" w:sz="4" w:space="0"/>
            </w:tcBorders>
            <w:vAlign w:val="center"/>
          </w:tcPr>
          <w:p w14:paraId="68886284">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10</w:t>
            </w:r>
          </w:p>
        </w:tc>
        <w:tc>
          <w:tcPr>
            <w:tcW w:w="993" w:type="dxa"/>
            <w:gridSpan w:val="2"/>
            <w:tcBorders>
              <w:top w:val="single" w:color="auto" w:sz="4" w:space="0"/>
              <w:left w:val="nil"/>
              <w:bottom w:val="single" w:color="auto" w:sz="4" w:space="0"/>
              <w:right w:val="single" w:color="auto" w:sz="4" w:space="0"/>
            </w:tcBorders>
            <w:vAlign w:val="center"/>
          </w:tcPr>
          <w:p w14:paraId="53385F15">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87.42%</w:t>
            </w:r>
          </w:p>
        </w:tc>
        <w:tc>
          <w:tcPr>
            <w:tcW w:w="1275" w:type="dxa"/>
            <w:tcBorders>
              <w:top w:val="nil"/>
              <w:left w:val="nil"/>
              <w:bottom w:val="single" w:color="auto" w:sz="4" w:space="0"/>
              <w:right w:val="single" w:color="auto" w:sz="4" w:space="0"/>
            </w:tcBorders>
            <w:vAlign w:val="center"/>
          </w:tcPr>
          <w:p w14:paraId="34A48F82">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8.74分</w:t>
            </w:r>
          </w:p>
        </w:tc>
      </w:tr>
      <w:tr w14:paraId="001B3521">
        <w:tblPrEx>
          <w:tblCellMar>
            <w:top w:w="0" w:type="dxa"/>
            <w:left w:w="108" w:type="dxa"/>
            <w:bottom w:w="0" w:type="dxa"/>
            <w:right w:w="108" w:type="dxa"/>
          </w:tblCellMar>
        </w:tblPrEx>
        <w:trPr>
          <w:cantSplit/>
          <w:trHeight w:val="500" w:hRule="atLeast"/>
        </w:trPr>
        <w:tc>
          <w:tcPr>
            <w:tcW w:w="1305" w:type="dxa"/>
            <w:gridSpan w:val="2"/>
            <w:vMerge w:val="continue"/>
            <w:tcBorders>
              <w:top w:val="single" w:color="auto" w:sz="4" w:space="0"/>
              <w:left w:val="single" w:color="auto" w:sz="4" w:space="0"/>
              <w:bottom w:val="single" w:color="auto" w:sz="4" w:space="0"/>
              <w:right w:val="single" w:color="auto" w:sz="4" w:space="0"/>
            </w:tcBorders>
            <w:vAlign w:val="center"/>
          </w:tcPr>
          <w:p w14:paraId="42B58E11">
            <w:pPr>
              <w:rPr>
                <w:rFonts w:hint="eastAsia" w:ascii="宋体" w:hAnsi="宋体" w:eastAsia="宋体" w:cs="宋体"/>
                <w:color w:val="000000"/>
                <w:sz w:val="18"/>
                <w:szCs w:val="18"/>
              </w:rPr>
            </w:pPr>
          </w:p>
        </w:tc>
        <w:tc>
          <w:tcPr>
            <w:tcW w:w="1336" w:type="dxa"/>
            <w:gridSpan w:val="2"/>
            <w:tcBorders>
              <w:top w:val="single" w:color="auto" w:sz="4" w:space="0"/>
              <w:left w:val="nil"/>
              <w:bottom w:val="single" w:color="auto" w:sz="4" w:space="0"/>
              <w:right w:val="single" w:color="auto" w:sz="4" w:space="0"/>
            </w:tcBorders>
            <w:vAlign w:val="center"/>
          </w:tcPr>
          <w:p w14:paraId="4A180B3A">
            <w:pPr>
              <w:jc w:val="center"/>
              <w:rPr>
                <w:rFonts w:hint="eastAsia" w:ascii="宋体" w:hAnsi="宋体" w:eastAsia="宋体" w:cs="宋体"/>
                <w:b/>
                <w:bCs/>
                <w:color w:val="000000"/>
                <w:sz w:val="18"/>
                <w:szCs w:val="18"/>
              </w:rPr>
            </w:pPr>
            <w:r>
              <w:rPr>
                <w:rFonts w:hint="eastAsia" w:ascii="宋体" w:hAnsi="宋体" w:eastAsia="宋体" w:cs="宋体"/>
                <w:b/>
                <w:bCs/>
                <w:color w:val="000000"/>
                <w:sz w:val="18"/>
                <w:szCs w:val="18"/>
              </w:rPr>
              <w:t>其中：当年财政拨款</w:t>
            </w:r>
          </w:p>
        </w:tc>
        <w:tc>
          <w:tcPr>
            <w:tcW w:w="1239" w:type="dxa"/>
            <w:tcBorders>
              <w:top w:val="single" w:color="auto" w:sz="4" w:space="0"/>
              <w:left w:val="nil"/>
              <w:bottom w:val="single" w:color="auto" w:sz="4" w:space="0"/>
              <w:right w:val="single" w:color="000000" w:sz="4" w:space="0"/>
            </w:tcBorders>
            <w:noWrap/>
            <w:vAlign w:val="center"/>
          </w:tcPr>
          <w:p w14:paraId="17737CE0">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19.00</w:t>
            </w:r>
          </w:p>
        </w:tc>
        <w:tc>
          <w:tcPr>
            <w:tcW w:w="1125" w:type="dxa"/>
            <w:tcBorders>
              <w:top w:val="nil"/>
              <w:left w:val="nil"/>
              <w:bottom w:val="single" w:color="auto" w:sz="4" w:space="0"/>
              <w:right w:val="single" w:color="auto" w:sz="4" w:space="0"/>
            </w:tcBorders>
            <w:noWrap/>
            <w:vAlign w:val="center"/>
          </w:tcPr>
          <w:p w14:paraId="448A57D2">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19.00</w:t>
            </w:r>
          </w:p>
        </w:tc>
        <w:tc>
          <w:tcPr>
            <w:tcW w:w="1275" w:type="dxa"/>
            <w:gridSpan w:val="2"/>
            <w:tcBorders>
              <w:top w:val="single" w:color="auto" w:sz="4" w:space="0"/>
              <w:left w:val="nil"/>
              <w:bottom w:val="single" w:color="auto" w:sz="4" w:space="0"/>
              <w:right w:val="single" w:color="000000" w:sz="4" w:space="0"/>
            </w:tcBorders>
            <w:noWrap/>
            <w:vAlign w:val="center"/>
          </w:tcPr>
          <w:p w14:paraId="0A57E0D8">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16.61</w:t>
            </w:r>
          </w:p>
        </w:tc>
        <w:tc>
          <w:tcPr>
            <w:tcW w:w="1134" w:type="dxa"/>
            <w:gridSpan w:val="2"/>
            <w:tcBorders>
              <w:top w:val="single" w:color="auto" w:sz="4" w:space="0"/>
              <w:left w:val="nil"/>
              <w:bottom w:val="single" w:color="auto" w:sz="4" w:space="0"/>
              <w:right w:val="single" w:color="auto" w:sz="4" w:space="0"/>
            </w:tcBorders>
            <w:vAlign w:val="center"/>
          </w:tcPr>
          <w:p w14:paraId="685971DE">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993" w:type="dxa"/>
            <w:gridSpan w:val="2"/>
            <w:tcBorders>
              <w:top w:val="single" w:color="auto" w:sz="4" w:space="0"/>
              <w:left w:val="nil"/>
              <w:bottom w:val="single" w:color="auto" w:sz="4" w:space="0"/>
              <w:right w:val="single" w:color="auto" w:sz="4" w:space="0"/>
            </w:tcBorders>
            <w:vAlign w:val="center"/>
          </w:tcPr>
          <w:p w14:paraId="4A7242B7">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1275" w:type="dxa"/>
            <w:tcBorders>
              <w:top w:val="nil"/>
              <w:left w:val="nil"/>
              <w:bottom w:val="single" w:color="auto" w:sz="4" w:space="0"/>
              <w:right w:val="single" w:color="auto" w:sz="4" w:space="0"/>
            </w:tcBorders>
            <w:vAlign w:val="center"/>
          </w:tcPr>
          <w:p w14:paraId="1C7643FE">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r>
      <w:tr w14:paraId="6DDE49D4">
        <w:tblPrEx>
          <w:tblCellMar>
            <w:top w:w="0" w:type="dxa"/>
            <w:left w:w="108" w:type="dxa"/>
            <w:bottom w:w="0" w:type="dxa"/>
            <w:right w:w="108" w:type="dxa"/>
          </w:tblCellMar>
        </w:tblPrEx>
        <w:trPr>
          <w:cantSplit/>
          <w:trHeight w:val="500" w:hRule="atLeast"/>
        </w:trPr>
        <w:tc>
          <w:tcPr>
            <w:tcW w:w="1305" w:type="dxa"/>
            <w:gridSpan w:val="2"/>
            <w:vMerge w:val="continue"/>
            <w:tcBorders>
              <w:top w:val="single" w:color="auto" w:sz="4" w:space="0"/>
              <w:left w:val="single" w:color="auto" w:sz="4" w:space="0"/>
              <w:bottom w:val="single" w:color="auto" w:sz="4" w:space="0"/>
              <w:right w:val="single" w:color="auto" w:sz="4" w:space="0"/>
            </w:tcBorders>
            <w:vAlign w:val="center"/>
          </w:tcPr>
          <w:p w14:paraId="2ED1DBE7">
            <w:pPr>
              <w:rPr>
                <w:rFonts w:hint="eastAsia" w:ascii="宋体" w:hAnsi="宋体" w:eastAsia="宋体" w:cs="宋体"/>
                <w:color w:val="000000"/>
                <w:sz w:val="18"/>
                <w:szCs w:val="18"/>
              </w:rPr>
            </w:pPr>
          </w:p>
        </w:tc>
        <w:tc>
          <w:tcPr>
            <w:tcW w:w="1336" w:type="dxa"/>
            <w:gridSpan w:val="2"/>
            <w:tcBorders>
              <w:top w:val="single" w:color="auto" w:sz="4" w:space="0"/>
              <w:left w:val="nil"/>
              <w:bottom w:val="single" w:color="auto" w:sz="4" w:space="0"/>
              <w:right w:val="single" w:color="auto" w:sz="4" w:space="0"/>
            </w:tcBorders>
            <w:vAlign w:val="center"/>
          </w:tcPr>
          <w:p w14:paraId="43EDE724">
            <w:pPr>
              <w:jc w:val="center"/>
              <w:rPr>
                <w:rFonts w:hint="eastAsia" w:ascii="宋体" w:hAnsi="宋体" w:eastAsia="宋体" w:cs="宋体"/>
                <w:b/>
                <w:bCs/>
                <w:color w:val="000000"/>
                <w:sz w:val="18"/>
                <w:szCs w:val="18"/>
              </w:rPr>
            </w:pPr>
            <w:r>
              <w:rPr>
                <w:rFonts w:hint="eastAsia" w:ascii="宋体" w:hAnsi="宋体" w:eastAsia="宋体" w:cs="宋体"/>
                <w:b/>
                <w:bCs/>
                <w:color w:val="000000"/>
                <w:sz w:val="18"/>
                <w:szCs w:val="18"/>
              </w:rPr>
              <w:t>其他资金</w:t>
            </w:r>
          </w:p>
        </w:tc>
        <w:tc>
          <w:tcPr>
            <w:tcW w:w="1239" w:type="dxa"/>
            <w:tcBorders>
              <w:top w:val="single" w:color="auto" w:sz="4" w:space="0"/>
              <w:left w:val="nil"/>
              <w:bottom w:val="single" w:color="auto" w:sz="4" w:space="0"/>
              <w:right w:val="single" w:color="000000" w:sz="4" w:space="0"/>
            </w:tcBorders>
            <w:noWrap/>
            <w:vAlign w:val="center"/>
          </w:tcPr>
          <w:p w14:paraId="18C9171D">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0.00</w:t>
            </w:r>
          </w:p>
        </w:tc>
        <w:tc>
          <w:tcPr>
            <w:tcW w:w="1125" w:type="dxa"/>
            <w:tcBorders>
              <w:top w:val="nil"/>
              <w:left w:val="nil"/>
              <w:bottom w:val="single" w:color="auto" w:sz="4" w:space="0"/>
              <w:right w:val="single" w:color="auto" w:sz="4" w:space="0"/>
            </w:tcBorders>
            <w:noWrap/>
            <w:vAlign w:val="center"/>
          </w:tcPr>
          <w:p w14:paraId="75886E80">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0.00</w:t>
            </w:r>
          </w:p>
        </w:tc>
        <w:tc>
          <w:tcPr>
            <w:tcW w:w="1275" w:type="dxa"/>
            <w:gridSpan w:val="2"/>
            <w:tcBorders>
              <w:top w:val="single" w:color="auto" w:sz="4" w:space="0"/>
              <w:left w:val="nil"/>
              <w:bottom w:val="single" w:color="auto" w:sz="4" w:space="0"/>
              <w:right w:val="single" w:color="000000" w:sz="4" w:space="0"/>
            </w:tcBorders>
            <w:noWrap/>
            <w:vAlign w:val="center"/>
          </w:tcPr>
          <w:p w14:paraId="0E0422D5">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0.00</w:t>
            </w:r>
          </w:p>
        </w:tc>
        <w:tc>
          <w:tcPr>
            <w:tcW w:w="1134" w:type="dxa"/>
            <w:gridSpan w:val="2"/>
            <w:tcBorders>
              <w:top w:val="single" w:color="auto" w:sz="4" w:space="0"/>
              <w:left w:val="nil"/>
              <w:bottom w:val="single" w:color="auto" w:sz="4" w:space="0"/>
              <w:right w:val="single" w:color="auto" w:sz="4" w:space="0"/>
            </w:tcBorders>
            <w:vAlign w:val="center"/>
          </w:tcPr>
          <w:p w14:paraId="4FB90272">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993" w:type="dxa"/>
            <w:gridSpan w:val="2"/>
            <w:tcBorders>
              <w:top w:val="single" w:color="auto" w:sz="4" w:space="0"/>
              <w:left w:val="nil"/>
              <w:bottom w:val="single" w:color="auto" w:sz="4" w:space="0"/>
              <w:right w:val="single" w:color="auto" w:sz="4" w:space="0"/>
            </w:tcBorders>
            <w:vAlign w:val="center"/>
          </w:tcPr>
          <w:p w14:paraId="079FAAAE">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1275" w:type="dxa"/>
            <w:tcBorders>
              <w:top w:val="nil"/>
              <w:left w:val="nil"/>
              <w:bottom w:val="single" w:color="auto" w:sz="4" w:space="0"/>
              <w:right w:val="single" w:color="auto" w:sz="4" w:space="0"/>
            </w:tcBorders>
            <w:vAlign w:val="center"/>
          </w:tcPr>
          <w:p w14:paraId="136391D5">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r>
      <w:tr w14:paraId="6F850C91">
        <w:tblPrEx>
          <w:tblCellMar>
            <w:top w:w="0" w:type="dxa"/>
            <w:left w:w="108" w:type="dxa"/>
            <w:bottom w:w="0" w:type="dxa"/>
            <w:right w:w="108" w:type="dxa"/>
          </w:tblCellMar>
        </w:tblPrEx>
        <w:trPr>
          <w:cantSplit/>
          <w:trHeight w:val="500" w:hRule="atLeast"/>
        </w:trPr>
        <w:tc>
          <w:tcPr>
            <w:tcW w:w="598" w:type="dxa"/>
            <w:vMerge w:val="restart"/>
            <w:tcBorders>
              <w:top w:val="nil"/>
              <w:left w:val="single" w:color="auto" w:sz="4" w:space="0"/>
              <w:bottom w:val="single" w:color="auto" w:sz="4" w:space="0"/>
              <w:right w:val="single" w:color="auto" w:sz="4" w:space="0"/>
            </w:tcBorders>
            <w:vAlign w:val="center"/>
          </w:tcPr>
          <w:p w14:paraId="03C345BA">
            <w:pPr>
              <w:jc w:val="center"/>
              <w:rPr>
                <w:rFonts w:hint="eastAsia" w:ascii="宋体" w:hAnsi="宋体" w:eastAsia="宋体" w:cs="宋体"/>
                <w:b/>
                <w:bCs/>
                <w:color w:val="000000"/>
                <w:sz w:val="18"/>
                <w:szCs w:val="18"/>
              </w:rPr>
            </w:pPr>
            <w:r>
              <w:rPr>
                <w:rFonts w:hint="eastAsia" w:ascii="宋体" w:hAnsi="宋体" w:eastAsia="宋体" w:cs="宋体"/>
                <w:b/>
                <w:bCs/>
                <w:color w:val="000000"/>
                <w:sz w:val="18"/>
                <w:szCs w:val="18"/>
              </w:rPr>
              <w:t>年度总体目标</w:t>
            </w:r>
          </w:p>
        </w:tc>
        <w:tc>
          <w:tcPr>
            <w:tcW w:w="4407" w:type="dxa"/>
            <w:gridSpan w:val="5"/>
            <w:tcBorders>
              <w:top w:val="single" w:color="auto" w:sz="4" w:space="0"/>
              <w:left w:val="nil"/>
              <w:bottom w:val="single" w:color="auto" w:sz="4" w:space="0"/>
              <w:right w:val="single" w:color="auto" w:sz="4" w:space="0"/>
            </w:tcBorders>
            <w:vAlign w:val="center"/>
          </w:tcPr>
          <w:p w14:paraId="75569FD9">
            <w:pPr>
              <w:jc w:val="center"/>
              <w:rPr>
                <w:rFonts w:hint="eastAsia" w:ascii="宋体" w:hAnsi="宋体" w:eastAsia="宋体" w:cs="宋体"/>
                <w:b/>
                <w:bCs/>
                <w:color w:val="000000"/>
                <w:sz w:val="18"/>
                <w:szCs w:val="18"/>
              </w:rPr>
            </w:pPr>
            <w:r>
              <w:rPr>
                <w:rFonts w:hint="eastAsia" w:ascii="宋体" w:hAnsi="宋体" w:eastAsia="宋体" w:cs="宋体"/>
                <w:b/>
                <w:bCs/>
                <w:color w:val="000000"/>
                <w:sz w:val="18"/>
                <w:szCs w:val="18"/>
              </w:rPr>
              <w:t>预期目标</w:t>
            </w:r>
          </w:p>
        </w:tc>
        <w:tc>
          <w:tcPr>
            <w:tcW w:w="4677" w:type="dxa"/>
            <w:gridSpan w:val="7"/>
            <w:tcBorders>
              <w:top w:val="single" w:color="auto" w:sz="4" w:space="0"/>
              <w:left w:val="nil"/>
              <w:bottom w:val="single" w:color="auto" w:sz="4" w:space="0"/>
              <w:right w:val="single" w:color="auto" w:sz="4" w:space="0"/>
            </w:tcBorders>
            <w:vAlign w:val="center"/>
          </w:tcPr>
          <w:p w14:paraId="173F3947">
            <w:pPr>
              <w:jc w:val="center"/>
              <w:rPr>
                <w:rFonts w:hint="eastAsia" w:ascii="宋体" w:hAnsi="宋体" w:eastAsia="宋体" w:cs="宋体"/>
                <w:b/>
                <w:bCs/>
                <w:color w:val="000000"/>
                <w:sz w:val="18"/>
                <w:szCs w:val="18"/>
              </w:rPr>
            </w:pPr>
            <w:r>
              <w:rPr>
                <w:rFonts w:hint="eastAsia" w:ascii="宋体" w:hAnsi="宋体" w:eastAsia="宋体" w:cs="宋体"/>
                <w:b/>
                <w:bCs/>
                <w:color w:val="000000"/>
                <w:sz w:val="18"/>
                <w:szCs w:val="18"/>
              </w:rPr>
              <w:t>实际完成情况</w:t>
            </w:r>
          </w:p>
        </w:tc>
      </w:tr>
      <w:tr w14:paraId="4E134749">
        <w:tblPrEx>
          <w:tblCellMar>
            <w:top w:w="0" w:type="dxa"/>
            <w:left w:w="108" w:type="dxa"/>
            <w:bottom w:w="0" w:type="dxa"/>
            <w:right w:w="108" w:type="dxa"/>
          </w:tblCellMar>
        </w:tblPrEx>
        <w:trPr>
          <w:cantSplit/>
          <w:trHeight w:val="703" w:hRule="atLeast"/>
        </w:trPr>
        <w:tc>
          <w:tcPr>
            <w:tcW w:w="598" w:type="dxa"/>
            <w:vMerge w:val="continue"/>
            <w:tcBorders>
              <w:top w:val="nil"/>
              <w:left w:val="single" w:color="auto" w:sz="4" w:space="0"/>
              <w:bottom w:val="single" w:color="auto" w:sz="4" w:space="0"/>
              <w:right w:val="single" w:color="auto" w:sz="4" w:space="0"/>
            </w:tcBorders>
            <w:vAlign w:val="center"/>
          </w:tcPr>
          <w:p w14:paraId="5E400438">
            <w:pPr>
              <w:rPr>
                <w:rFonts w:hint="eastAsia" w:ascii="宋体" w:hAnsi="宋体" w:eastAsia="宋体" w:cs="宋体"/>
                <w:color w:val="000000"/>
                <w:sz w:val="18"/>
                <w:szCs w:val="18"/>
              </w:rPr>
            </w:pPr>
          </w:p>
        </w:tc>
        <w:tc>
          <w:tcPr>
            <w:tcW w:w="4407" w:type="dxa"/>
            <w:gridSpan w:val="5"/>
            <w:tcBorders>
              <w:top w:val="single" w:color="auto" w:sz="4" w:space="0"/>
              <w:left w:val="nil"/>
              <w:bottom w:val="single" w:color="auto" w:sz="4" w:space="0"/>
              <w:right w:val="single" w:color="000000" w:sz="4" w:space="0"/>
            </w:tcBorders>
          </w:tcPr>
          <w:p w14:paraId="58EEC7C3">
            <w:pPr>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保障政法委联合办公大楼水电正常运转，提高工作效率，保障综治正常运转。</w:t>
            </w:r>
          </w:p>
        </w:tc>
        <w:tc>
          <w:tcPr>
            <w:tcW w:w="4677" w:type="dxa"/>
            <w:gridSpan w:val="7"/>
            <w:tcBorders>
              <w:top w:val="single" w:color="auto" w:sz="4" w:space="0"/>
              <w:left w:val="nil"/>
              <w:bottom w:val="single" w:color="auto" w:sz="4" w:space="0"/>
              <w:right w:val="single" w:color="000000" w:sz="4" w:space="0"/>
            </w:tcBorders>
          </w:tcPr>
          <w:p w14:paraId="5B726180">
            <w:pPr>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截止2024年12月31日，已完成政法委联合办公大楼每月水电支付，共计16.61万元，提高工作效率，保障综治工作的正常运转。</w:t>
            </w:r>
          </w:p>
        </w:tc>
      </w:tr>
      <w:tr w14:paraId="43CB1DF8">
        <w:tblPrEx>
          <w:tblCellMar>
            <w:top w:w="0" w:type="dxa"/>
            <w:left w:w="108" w:type="dxa"/>
            <w:bottom w:w="0" w:type="dxa"/>
            <w:right w:w="108" w:type="dxa"/>
          </w:tblCellMar>
        </w:tblPrEx>
        <w:trPr>
          <w:cantSplit/>
          <w:trHeight w:val="543" w:hRule="atLeast"/>
        </w:trPr>
        <w:tc>
          <w:tcPr>
            <w:tcW w:w="598" w:type="dxa"/>
            <w:vMerge w:val="restart"/>
            <w:tcBorders>
              <w:top w:val="nil"/>
              <w:left w:val="single" w:color="auto" w:sz="4" w:space="0"/>
              <w:bottom w:val="single" w:color="auto" w:sz="4" w:space="0"/>
              <w:right w:val="single" w:color="auto" w:sz="4" w:space="0"/>
            </w:tcBorders>
            <w:vAlign w:val="center"/>
          </w:tcPr>
          <w:p w14:paraId="54A2A8EA">
            <w:pPr>
              <w:jc w:val="center"/>
              <w:rPr>
                <w:rFonts w:hint="eastAsia" w:ascii="宋体" w:hAnsi="宋体" w:eastAsia="宋体" w:cs="宋体"/>
                <w:color w:val="000000"/>
                <w:sz w:val="18"/>
                <w:szCs w:val="18"/>
                <w:lang w:eastAsia="zh-CN"/>
              </w:rPr>
            </w:pPr>
          </w:p>
        </w:tc>
        <w:tc>
          <w:tcPr>
            <w:tcW w:w="707" w:type="dxa"/>
            <w:vMerge w:val="restart"/>
            <w:tcBorders>
              <w:top w:val="nil"/>
              <w:left w:val="single" w:color="auto" w:sz="4" w:space="0"/>
              <w:bottom w:val="single" w:color="auto" w:sz="4" w:space="0"/>
              <w:right w:val="single" w:color="auto" w:sz="4" w:space="0"/>
            </w:tcBorders>
            <w:vAlign w:val="center"/>
          </w:tcPr>
          <w:p w14:paraId="7F36FA56">
            <w:pPr>
              <w:jc w:val="center"/>
              <w:rPr>
                <w:rFonts w:hint="eastAsia" w:ascii="宋体" w:hAnsi="宋体" w:eastAsia="宋体" w:cs="宋体"/>
                <w:b/>
                <w:bCs/>
                <w:color w:val="000000"/>
                <w:sz w:val="18"/>
                <w:szCs w:val="18"/>
              </w:rPr>
            </w:pPr>
            <w:r>
              <w:rPr>
                <w:rFonts w:hint="eastAsia" w:ascii="宋体" w:hAnsi="宋体" w:eastAsia="宋体" w:cs="宋体"/>
                <w:b/>
                <w:bCs/>
                <w:color w:val="000000"/>
                <w:sz w:val="18"/>
                <w:szCs w:val="18"/>
              </w:rPr>
              <w:t>一级指标</w:t>
            </w:r>
          </w:p>
        </w:tc>
        <w:tc>
          <w:tcPr>
            <w:tcW w:w="718" w:type="dxa"/>
            <w:vMerge w:val="restart"/>
            <w:tcBorders>
              <w:top w:val="nil"/>
              <w:left w:val="single" w:color="auto" w:sz="4" w:space="0"/>
              <w:bottom w:val="single" w:color="auto" w:sz="4" w:space="0"/>
              <w:right w:val="single" w:color="auto" w:sz="4" w:space="0"/>
            </w:tcBorders>
            <w:vAlign w:val="center"/>
          </w:tcPr>
          <w:p w14:paraId="7B2EB391">
            <w:pPr>
              <w:jc w:val="center"/>
              <w:rPr>
                <w:rFonts w:hint="eastAsia" w:ascii="宋体" w:hAnsi="宋体" w:eastAsia="宋体" w:cs="宋体"/>
                <w:b/>
                <w:bCs/>
                <w:color w:val="000000"/>
                <w:sz w:val="18"/>
                <w:szCs w:val="18"/>
              </w:rPr>
            </w:pPr>
            <w:r>
              <w:rPr>
                <w:rFonts w:hint="eastAsia" w:ascii="宋体" w:hAnsi="宋体" w:eastAsia="宋体" w:cs="宋体"/>
                <w:b/>
                <w:bCs/>
                <w:color w:val="000000"/>
                <w:sz w:val="18"/>
                <w:szCs w:val="18"/>
              </w:rPr>
              <w:t>二级指标</w:t>
            </w:r>
          </w:p>
        </w:tc>
        <w:tc>
          <w:tcPr>
            <w:tcW w:w="1857" w:type="dxa"/>
            <w:gridSpan w:val="2"/>
            <w:vMerge w:val="restart"/>
            <w:tcBorders>
              <w:top w:val="single" w:color="auto" w:sz="4" w:space="0"/>
              <w:left w:val="single" w:color="auto" w:sz="4" w:space="0"/>
              <w:bottom w:val="single" w:color="auto" w:sz="4" w:space="0"/>
              <w:right w:val="single" w:color="auto" w:sz="4" w:space="0"/>
            </w:tcBorders>
            <w:vAlign w:val="center"/>
          </w:tcPr>
          <w:p w14:paraId="49ABCB78">
            <w:pPr>
              <w:jc w:val="center"/>
              <w:rPr>
                <w:rFonts w:hint="eastAsia" w:ascii="宋体" w:hAnsi="宋体" w:eastAsia="宋体" w:cs="宋体"/>
                <w:b/>
                <w:bCs/>
                <w:color w:val="000000"/>
                <w:sz w:val="18"/>
                <w:szCs w:val="18"/>
              </w:rPr>
            </w:pPr>
            <w:r>
              <w:rPr>
                <w:rFonts w:hint="eastAsia" w:ascii="宋体" w:hAnsi="宋体" w:eastAsia="宋体" w:cs="宋体"/>
                <w:b/>
                <w:bCs/>
                <w:color w:val="000000"/>
                <w:sz w:val="18"/>
                <w:szCs w:val="18"/>
              </w:rPr>
              <w:t>三级指标</w:t>
            </w:r>
          </w:p>
        </w:tc>
        <w:tc>
          <w:tcPr>
            <w:tcW w:w="1125" w:type="dxa"/>
            <w:vMerge w:val="restart"/>
            <w:tcBorders>
              <w:top w:val="nil"/>
              <w:left w:val="single" w:color="auto" w:sz="4" w:space="0"/>
              <w:bottom w:val="single" w:color="auto" w:sz="4" w:space="0"/>
              <w:right w:val="single" w:color="auto" w:sz="4" w:space="0"/>
            </w:tcBorders>
            <w:vAlign w:val="center"/>
          </w:tcPr>
          <w:p w14:paraId="5EA995EE">
            <w:pPr>
              <w:jc w:val="center"/>
              <w:rPr>
                <w:rFonts w:hint="eastAsia" w:ascii="宋体" w:hAnsi="宋体" w:eastAsia="宋体" w:cs="宋体"/>
                <w:b/>
                <w:bCs/>
                <w:color w:val="000000"/>
                <w:sz w:val="18"/>
                <w:szCs w:val="18"/>
              </w:rPr>
            </w:pPr>
            <w:r>
              <w:rPr>
                <w:rFonts w:hint="eastAsia" w:ascii="宋体" w:hAnsi="宋体" w:eastAsia="宋体" w:cs="宋体"/>
                <w:b/>
                <w:bCs/>
                <w:color w:val="000000"/>
                <w:sz w:val="18"/>
                <w:szCs w:val="18"/>
              </w:rPr>
              <w:t>年度指标值</w:t>
            </w:r>
          </w:p>
        </w:tc>
        <w:tc>
          <w:tcPr>
            <w:tcW w:w="1229" w:type="dxa"/>
            <w:vMerge w:val="restart"/>
            <w:tcBorders>
              <w:top w:val="nil"/>
              <w:left w:val="single" w:color="auto" w:sz="4" w:space="0"/>
              <w:bottom w:val="single" w:color="auto" w:sz="4" w:space="0"/>
              <w:right w:val="single" w:color="auto" w:sz="4" w:space="0"/>
            </w:tcBorders>
            <w:vAlign w:val="center"/>
          </w:tcPr>
          <w:p w14:paraId="2AE9B569">
            <w:pPr>
              <w:jc w:val="center"/>
              <w:rPr>
                <w:rFonts w:hint="eastAsia" w:ascii="宋体" w:hAnsi="宋体" w:eastAsia="宋体" w:cs="宋体"/>
                <w:b/>
                <w:bCs/>
                <w:color w:val="000000"/>
                <w:sz w:val="18"/>
                <w:szCs w:val="18"/>
              </w:rPr>
            </w:pPr>
            <w:r>
              <w:rPr>
                <w:rFonts w:hint="eastAsia" w:ascii="宋体" w:hAnsi="宋体" w:eastAsia="宋体" w:cs="宋体"/>
                <w:b/>
                <w:bCs/>
                <w:color w:val="000000"/>
                <w:sz w:val="18"/>
                <w:szCs w:val="18"/>
              </w:rPr>
              <w:t>实际完成值</w:t>
            </w:r>
          </w:p>
        </w:tc>
        <w:tc>
          <w:tcPr>
            <w:tcW w:w="755" w:type="dxa"/>
            <w:gridSpan w:val="2"/>
            <w:vMerge w:val="restart"/>
            <w:tcBorders>
              <w:top w:val="single" w:color="auto" w:sz="4" w:space="0"/>
              <w:left w:val="single" w:color="auto" w:sz="4" w:space="0"/>
              <w:bottom w:val="single" w:color="auto" w:sz="4" w:space="0"/>
              <w:right w:val="single" w:color="auto" w:sz="4" w:space="0"/>
            </w:tcBorders>
            <w:vAlign w:val="center"/>
          </w:tcPr>
          <w:p w14:paraId="62E150D6">
            <w:pPr>
              <w:jc w:val="center"/>
              <w:rPr>
                <w:rFonts w:hint="eastAsia" w:ascii="宋体" w:hAnsi="宋体" w:eastAsia="宋体" w:cs="宋体"/>
                <w:b/>
                <w:bCs/>
                <w:color w:val="000000"/>
                <w:sz w:val="18"/>
                <w:szCs w:val="18"/>
              </w:rPr>
            </w:pPr>
            <w:r>
              <w:rPr>
                <w:rFonts w:hint="eastAsia" w:ascii="宋体" w:hAnsi="宋体" w:eastAsia="宋体" w:cs="宋体"/>
                <w:b/>
                <w:bCs/>
                <w:color w:val="000000"/>
                <w:sz w:val="18"/>
                <w:szCs w:val="18"/>
              </w:rPr>
              <w:t>分值</w:t>
            </w:r>
          </w:p>
        </w:tc>
        <w:tc>
          <w:tcPr>
            <w:tcW w:w="709" w:type="dxa"/>
            <w:gridSpan w:val="2"/>
            <w:vMerge w:val="restart"/>
            <w:tcBorders>
              <w:top w:val="single" w:color="auto" w:sz="4" w:space="0"/>
              <w:left w:val="single" w:color="auto" w:sz="4" w:space="0"/>
              <w:bottom w:val="single" w:color="auto" w:sz="4" w:space="0"/>
              <w:right w:val="single" w:color="auto" w:sz="4" w:space="0"/>
            </w:tcBorders>
            <w:vAlign w:val="center"/>
          </w:tcPr>
          <w:p w14:paraId="78E71DD2">
            <w:pPr>
              <w:jc w:val="center"/>
              <w:rPr>
                <w:rFonts w:hint="eastAsia" w:ascii="宋体" w:hAnsi="宋体" w:eastAsia="宋体" w:cs="宋体"/>
                <w:b/>
                <w:bCs/>
                <w:color w:val="000000"/>
                <w:sz w:val="18"/>
                <w:szCs w:val="18"/>
              </w:rPr>
            </w:pPr>
            <w:r>
              <w:rPr>
                <w:rFonts w:hint="eastAsia" w:ascii="宋体" w:hAnsi="宋体" w:eastAsia="宋体" w:cs="宋体"/>
                <w:b/>
                <w:bCs/>
                <w:color w:val="000000"/>
                <w:sz w:val="18"/>
                <w:szCs w:val="18"/>
              </w:rPr>
              <w:t>得分</w:t>
            </w:r>
          </w:p>
        </w:tc>
        <w:tc>
          <w:tcPr>
            <w:tcW w:w="1984" w:type="dxa"/>
            <w:gridSpan w:val="2"/>
            <w:vMerge w:val="restart"/>
            <w:tcBorders>
              <w:top w:val="single" w:color="auto" w:sz="4" w:space="0"/>
              <w:left w:val="single" w:color="auto" w:sz="4" w:space="0"/>
              <w:bottom w:val="single" w:color="auto" w:sz="4" w:space="0"/>
              <w:right w:val="single" w:color="auto" w:sz="4" w:space="0"/>
            </w:tcBorders>
            <w:vAlign w:val="center"/>
          </w:tcPr>
          <w:p w14:paraId="556FF9B3">
            <w:pPr>
              <w:jc w:val="center"/>
              <w:rPr>
                <w:rFonts w:hint="eastAsia" w:ascii="宋体" w:hAnsi="宋体" w:eastAsia="宋体" w:cs="宋体"/>
                <w:b/>
                <w:bCs/>
                <w:color w:val="000000"/>
                <w:sz w:val="18"/>
                <w:szCs w:val="18"/>
                <w:lang w:eastAsia="zh-CN"/>
              </w:rPr>
            </w:pPr>
            <w:r>
              <w:rPr>
                <w:rFonts w:hint="eastAsia" w:ascii="宋体" w:hAnsi="宋体" w:eastAsia="宋体" w:cs="宋体"/>
                <w:b/>
                <w:bCs/>
                <w:color w:val="000000"/>
                <w:sz w:val="18"/>
                <w:szCs w:val="18"/>
                <w:lang w:eastAsia="zh-CN"/>
              </w:rPr>
              <w:t>偏差原因分析及改进措施</w:t>
            </w:r>
          </w:p>
        </w:tc>
      </w:tr>
      <w:tr w14:paraId="465E1ADA">
        <w:tblPrEx>
          <w:tblCellMar>
            <w:top w:w="0" w:type="dxa"/>
            <w:left w:w="108" w:type="dxa"/>
            <w:bottom w:w="0" w:type="dxa"/>
            <w:right w:w="108" w:type="dxa"/>
          </w:tblCellMar>
        </w:tblPrEx>
        <w:trPr>
          <w:cantSplit/>
          <w:trHeight w:val="543" w:hRule="atLeast"/>
        </w:trPr>
        <w:tc>
          <w:tcPr>
            <w:tcW w:w="598" w:type="dxa"/>
            <w:vMerge w:val="continue"/>
            <w:tcBorders>
              <w:top w:val="nil"/>
              <w:left w:val="single" w:color="auto" w:sz="4" w:space="0"/>
              <w:bottom w:val="single" w:color="auto" w:sz="4" w:space="0"/>
              <w:right w:val="single" w:color="auto" w:sz="4" w:space="0"/>
            </w:tcBorders>
            <w:vAlign w:val="center"/>
          </w:tcPr>
          <w:p w14:paraId="62499A0B">
            <w:pPr>
              <w:rPr>
                <w:rFonts w:hint="eastAsia" w:ascii="宋体" w:hAnsi="宋体" w:eastAsia="宋体" w:cs="宋体"/>
                <w:color w:val="000000"/>
                <w:sz w:val="18"/>
                <w:szCs w:val="18"/>
                <w:lang w:eastAsia="zh-CN"/>
              </w:rPr>
            </w:pPr>
          </w:p>
        </w:tc>
        <w:tc>
          <w:tcPr>
            <w:tcW w:w="707" w:type="dxa"/>
            <w:vMerge w:val="continue"/>
            <w:tcBorders>
              <w:top w:val="nil"/>
              <w:left w:val="single" w:color="auto" w:sz="4" w:space="0"/>
              <w:bottom w:val="single" w:color="auto" w:sz="4" w:space="0"/>
              <w:right w:val="single" w:color="auto" w:sz="4" w:space="0"/>
            </w:tcBorders>
            <w:vAlign w:val="center"/>
          </w:tcPr>
          <w:p w14:paraId="3CA787DD">
            <w:pPr>
              <w:rPr>
                <w:rFonts w:hint="eastAsia" w:ascii="宋体" w:hAnsi="宋体" w:eastAsia="宋体" w:cs="宋体"/>
                <w:color w:val="000000"/>
                <w:sz w:val="18"/>
                <w:szCs w:val="18"/>
                <w:lang w:eastAsia="zh-CN"/>
              </w:rPr>
            </w:pPr>
          </w:p>
        </w:tc>
        <w:tc>
          <w:tcPr>
            <w:tcW w:w="718" w:type="dxa"/>
            <w:vMerge w:val="continue"/>
            <w:tcBorders>
              <w:top w:val="nil"/>
              <w:left w:val="single" w:color="auto" w:sz="4" w:space="0"/>
              <w:bottom w:val="single" w:color="auto" w:sz="4" w:space="0"/>
              <w:right w:val="single" w:color="auto" w:sz="4" w:space="0"/>
            </w:tcBorders>
            <w:vAlign w:val="center"/>
          </w:tcPr>
          <w:p w14:paraId="02140A65">
            <w:pPr>
              <w:rPr>
                <w:rFonts w:hint="eastAsia" w:ascii="宋体" w:hAnsi="宋体" w:eastAsia="宋体" w:cs="宋体"/>
                <w:color w:val="000000"/>
                <w:sz w:val="18"/>
                <w:szCs w:val="18"/>
                <w:lang w:eastAsia="zh-CN"/>
              </w:rPr>
            </w:pPr>
          </w:p>
        </w:tc>
        <w:tc>
          <w:tcPr>
            <w:tcW w:w="1857" w:type="dxa"/>
            <w:gridSpan w:val="2"/>
            <w:vMerge w:val="continue"/>
            <w:tcBorders>
              <w:top w:val="single" w:color="auto" w:sz="4" w:space="0"/>
              <w:left w:val="single" w:color="auto" w:sz="4" w:space="0"/>
              <w:bottom w:val="single" w:color="auto" w:sz="4" w:space="0"/>
              <w:right w:val="single" w:color="auto" w:sz="4" w:space="0"/>
            </w:tcBorders>
            <w:vAlign w:val="center"/>
          </w:tcPr>
          <w:p w14:paraId="55DF87C0">
            <w:pPr>
              <w:rPr>
                <w:rFonts w:hint="eastAsia" w:ascii="宋体" w:hAnsi="宋体" w:eastAsia="宋体" w:cs="宋体"/>
                <w:color w:val="000000"/>
                <w:sz w:val="18"/>
                <w:szCs w:val="18"/>
                <w:lang w:eastAsia="zh-CN"/>
              </w:rPr>
            </w:pPr>
          </w:p>
        </w:tc>
        <w:tc>
          <w:tcPr>
            <w:tcW w:w="1125" w:type="dxa"/>
            <w:vMerge w:val="continue"/>
            <w:tcBorders>
              <w:top w:val="nil"/>
              <w:left w:val="single" w:color="auto" w:sz="4" w:space="0"/>
              <w:bottom w:val="single" w:color="auto" w:sz="4" w:space="0"/>
              <w:right w:val="single" w:color="auto" w:sz="4" w:space="0"/>
            </w:tcBorders>
            <w:vAlign w:val="center"/>
          </w:tcPr>
          <w:p w14:paraId="7B67C064">
            <w:pPr>
              <w:rPr>
                <w:rFonts w:hint="eastAsia" w:ascii="宋体" w:hAnsi="宋体" w:eastAsia="宋体" w:cs="宋体"/>
                <w:color w:val="000000"/>
                <w:sz w:val="18"/>
                <w:szCs w:val="18"/>
                <w:lang w:eastAsia="zh-CN"/>
              </w:rPr>
            </w:pPr>
          </w:p>
        </w:tc>
        <w:tc>
          <w:tcPr>
            <w:tcW w:w="1229" w:type="dxa"/>
            <w:vMerge w:val="continue"/>
            <w:tcBorders>
              <w:top w:val="nil"/>
              <w:left w:val="single" w:color="auto" w:sz="4" w:space="0"/>
              <w:bottom w:val="single" w:color="auto" w:sz="4" w:space="0"/>
              <w:right w:val="single" w:color="auto" w:sz="4" w:space="0"/>
            </w:tcBorders>
            <w:vAlign w:val="center"/>
          </w:tcPr>
          <w:p w14:paraId="564CC5E5">
            <w:pPr>
              <w:rPr>
                <w:rFonts w:hint="eastAsia" w:ascii="宋体" w:hAnsi="宋体" w:eastAsia="宋体" w:cs="宋体"/>
                <w:color w:val="000000"/>
                <w:sz w:val="18"/>
                <w:szCs w:val="18"/>
                <w:lang w:eastAsia="zh-CN"/>
              </w:rPr>
            </w:pPr>
          </w:p>
        </w:tc>
        <w:tc>
          <w:tcPr>
            <w:tcW w:w="755" w:type="dxa"/>
            <w:gridSpan w:val="2"/>
            <w:vMerge w:val="continue"/>
            <w:tcBorders>
              <w:top w:val="single" w:color="auto" w:sz="4" w:space="0"/>
              <w:left w:val="single" w:color="auto" w:sz="4" w:space="0"/>
              <w:bottom w:val="single" w:color="auto" w:sz="4" w:space="0"/>
              <w:right w:val="single" w:color="auto" w:sz="4" w:space="0"/>
            </w:tcBorders>
            <w:vAlign w:val="center"/>
          </w:tcPr>
          <w:p w14:paraId="5A50CEE9">
            <w:pPr>
              <w:rPr>
                <w:rFonts w:hint="eastAsia" w:ascii="宋体" w:hAnsi="宋体" w:eastAsia="宋体" w:cs="宋体"/>
                <w:color w:val="000000"/>
                <w:sz w:val="18"/>
                <w:szCs w:val="18"/>
                <w:lang w:eastAsia="zh-CN"/>
              </w:rPr>
            </w:pPr>
          </w:p>
        </w:tc>
        <w:tc>
          <w:tcPr>
            <w:tcW w:w="709" w:type="dxa"/>
            <w:gridSpan w:val="2"/>
            <w:vMerge w:val="continue"/>
            <w:tcBorders>
              <w:top w:val="single" w:color="auto" w:sz="4" w:space="0"/>
              <w:left w:val="single" w:color="auto" w:sz="4" w:space="0"/>
              <w:bottom w:val="single" w:color="auto" w:sz="4" w:space="0"/>
              <w:right w:val="single" w:color="auto" w:sz="4" w:space="0"/>
            </w:tcBorders>
            <w:vAlign w:val="center"/>
          </w:tcPr>
          <w:p w14:paraId="691EAFFC">
            <w:pPr>
              <w:rPr>
                <w:rFonts w:hint="eastAsia" w:ascii="宋体" w:hAnsi="宋体" w:eastAsia="宋体" w:cs="宋体"/>
                <w:color w:val="000000"/>
                <w:sz w:val="18"/>
                <w:szCs w:val="18"/>
                <w:lang w:eastAsia="zh-CN"/>
              </w:rPr>
            </w:pPr>
          </w:p>
        </w:tc>
        <w:tc>
          <w:tcPr>
            <w:tcW w:w="1984" w:type="dxa"/>
            <w:gridSpan w:val="2"/>
            <w:vMerge w:val="continue"/>
            <w:tcBorders>
              <w:top w:val="single" w:color="auto" w:sz="4" w:space="0"/>
              <w:left w:val="single" w:color="auto" w:sz="4" w:space="0"/>
              <w:bottom w:val="single" w:color="auto" w:sz="4" w:space="0"/>
              <w:right w:val="single" w:color="auto" w:sz="4" w:space="0"/>
            </w:tcBorders>
            <w:vAlign w:val="center"/>
          </w:tcPr>
          <w:p w14:paraId="5952539A">
            <w:pPr>
              <w:rPr>
                <w:rFonts w:hint="eastAsia" w:ascii="宋体" w:hAnsi="宋体" w:eastAsia="宋体" w:cs="宋体"/>
                <w:color w:val="000000"/>
                <w:sz w:val="18"/>
                <w:szCs w:val="18"/>
                <w:lang w:eastAsia="zh-CN"/>
              </w:rPr>
            </w:pPr>
          </w:p>
        </w:tc>
      </w:tr>
      <w:tr w14:paraId="748BC5C6">
        <w:tblPrEx>
          <w:tblCellMar>
            <w:top w:w="0" w:type="dxa"/>
            <w:left w:w="108" w:type="dxa"/>
            <w:bottom w:w="0" w:type="dxa"/>
            <w:right w:w="108" w:type="dxa"/>
          </w:tblCellMar>
        </w:tblPrEx>
        <w:trPr>
          <w:cantSplit/>
          <w:trHeight w:val="600" w:hRule="atLeast"/>
        </w:trPr>
        <w:tc>
          <w:tcPr>
            <w:tcW w:w="598" w:type="dxa"/>
            <w:vMerge w:val="restart"/>
            <w:tcBorders>
              <w:top w:val="nil"/>
              <w:left w:val="single" w:color="auto" w:sz="4" w:space="0"/>
              <w:bottom w:val="single" w:color="auto" w:sz="4" w:space="0"/>
              <w:right w:val="single" w:color="auto" w:sz="4" w:space="0"/>
            </w:tcBorders>
            <w:vAlign w:val="center"/>
          </w:tcPr>
          <w:p w14:paraId="23390A38">
            <w:pPr>
              <w:jc w:val="center"/>
              <w:rPr>
                <w:rFonts w:hint="eastAsia" w:ascii="宋体" w:hAnsi="宋体" w:eastAsia="宋体" w:cs="宋体"/>
                <w:b/>
                <w:bCs/>
                <w:color w:val="000000"/>
                <w:sz w:val="18"/>
                <w:szCs w:val="18"/>
                <w:lang w:eastAsia="zh-CN"/>
              </w:rPr>
            </w:pPr>
            <w:r>
              <w:rPr>
                <w:rFonts w:hint="eastAsia" w:ascii="宋体" w:hAnsi="宋体" w:eastAsia="宋体" w:cs="宋体"/>
                <w:b/>
                <w:bCs/>
                <w:color w:val="000000"/>
                <w:sz w:val="18"/>
                <w:szCs w:val="18"/>
                <w:lang w:eastAsia="zh-CN"/>
              </w:rPr>
              <w:t>年度绩效指标完成情况</w:t>
            </w:r>
          </w:p>
        </w:tc>
        <w:tc>
          <w:tcPr>
            <w:tcW w:w="707" w:type="dxa"/>
            <w:vMerge w:val="restart"/>
            <w:tcBorders>
              <w:top w:val="nil"/>
              <w:left w:val="nil"/>
              <w:right w:val="single" w:color="auto" w:sz="4" w:space="0"/>
            </w:tcBorders>
            <w:vAlign w:val="center"/>
          </w:tcPr>
          <w:p w14:paraId="5E49C4D5">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产出指标</w:t>
            </w:r>
          </w:p>
        </w:tc>
        <w:tc>
          <w:tcPr>
            <w:tcW w:w="718" w:type="dxa"/>
            <w:vMerge w:val="restart"/>
            <w:tcBorders>
              <w:top w:val="nil"/>
              <w:left w:val="nil"/>
              <w:right w:val="single" w:color="auto" w:sz="4" w:space="0"/>
            </w:tcBorders>
            <w:vAlign w:val="center"/>
          </w:tcPr>
          <w:p w14:paraId="4F110BF3">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数量指标</w:t>
            </w:r>
          </w:p>
        </w:tc>
        <w:tc>
          <w:tcPr>
            <w:tcW w:w="1857" w:type="dxa"/>
            <w:gridSpan w:val="2"/>
            <w:tcBorders>
              <w:top w:val="single" w:color="auto" w:sz="4" w:space="0"/>
              <w:left w:val="nil"/>
              <w:bottom w:val="single" w:color="auto" w:sz="4" w:space="0"/>
              <w:right w:val="single" w:color="000000" w:sz="4" w:space="0"/>
            </w:tcBorders>
            <w:noWrap/>
            <w:vAlign w:val="center"/>
          </w:tcPr>
          <w:p w14:paraId="5C044AAF">
            <w:pPr>
              <w:rPr>
                <w:rFonts w:hint="eastAsia" w:ascii="宋体" w:hAnsi="宋体" w:eastAsia="宋体" w:cs="宋体"/>
                <w:color w:val="000000"/>
                <w:sz w:val="18"/>
                <w:szCs w:val="18"/>
              </w:rPr>
            </w:pPr>
            <w:r>
              <w:rPr>
                <w:rFonts w:hint="eastAsia" w:ascii="宋体" w:hAnsi="宋体" w:eastAsia="宋体" w:cs="宋体"/>
                <w:color w:val="000000"/>
                <w:sz w:val="18"/>
                <w:szCs w:val="18"/>
              </w:rPr>
              <w:t>月用电量</w:t>
            </w:r>
          </w:p>
        </w:tc>
        <w:tc>
          <w:tcPr>
            <w:tcW w:w="1125" w:type="dxa"/>
            <w:tcBorders>
              <w:top w:val="nil"/>
              <w:left w:val="nil"/>
              <w:bottom w:val="single" w:color="auto" w:sz="4" w:space="0"/>
              <w:right w:val="single" w:color="auto" w:sz="4" w:space="0"/>
            </w:tcBorders>
            <w:vAlign w:val="center"/>
          </w:tcPr>
          <w:p w14:paraId="2BB1FA83">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&gt;=30000千瓦时</w:t>
            </w:r>
          </w:p>
        </w:tc>
        <w:tc>
          <w:tcPr>
            <w:tcW w:w="1229" w:type="dxa"/>
            <w:tcBorders>
              <w:top w:val="nil"/>
              <w:left w:val="nil"/>
              <w:bottom w:val="single" w:color="auto" w:sz="4" w:space="0"/>
              <w:right w:val="single" w:color="auto" w:sz="4" w:space="0"/>
            </w:tcBorders>
            <w:vAlign w:val="center"/>
          </w:tcPr>
          <w:p w14:paraId="65E42C62">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=251310千瓦时</w:t>
            </w:r>
          </w:p>
        </w:tc>
        <w:tc>
          <w:tcPr>
            <w:tcW w:w="755" w:type="dxa"/>
            <w:gridSpan w:val="2"/>
            <w:tcBorders>
              <w:top w:val="single" w:color="auto" w:sz="4" w:space="0"/>
              <w:left w:val="nil"/>
              <w:bottom w:val="single" w:color="auto" w:sz="4" w:space="0"/>
              <w:right w:val="single" w:color="000000" w:sz="4" w:space="0"/>
            </w:tcBorders>
            <w:vAlign w:val="center"/>
          </w:tcPr>
          <w:p w14:paraId="7D879FA9">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5</w:t>
            </w:r>
          </w:p>
        </w:tc>
        <w:tc>
          <w:tcPr>
            <w:tcW w:w="709" w:type="dxa"/>
            <w:gridSpan w:val="2"/>
            <w:tcBorders>
              <w:top w:val="single" w:color="auto" w:sz="4" w:space="0"/>
              <w:left w:val="nil"/>
              <w:bottom w:val="single" w:color="auto" w:sz="4" w:space="0"/>
              <w:right w:val="single" w:color="000000" w:sz="4" w:space="0"/>
            </w:tcBorders>
            <w:vAlign w:val="center"/>
          </w:tcPr>
          <w:p w14:paraId="57052475">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4.19</w:t>
            </w:r>
          </w:p>
        </w:tc>
        <w:tc>
          <w:tcPr>
            <w:tcW w:w="1984" w:type="dxa"/>
            <w:gridSpan w:val="2"/>
            <w:tcBorders>
              <w:top w:val="single" w:color="auto" w:sz="4" w:space="0"/>
              <w:left w:val="nil"/>
              <w:bottom w:val="single" w:color="auto" w:sz="4" w:space="0"/>
              <w:right w:val="single" w:color="auto" w:sz="4" w:space="0"/>
            </w:tcBorders>
            <w:vAlign w:val="center"/>
          </w:tcPr>
          <w:p w14:paraId="7B548553">
            <w:pPr>
              <w:jc w:val="center"/>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根据项目实际用电量计算，指标值设置过高，未达到预期值，后期加强指标设置。</w:t>
            </w:r>
          </w:p>
        </w:tc>
      </w:tr>
      <w:tr w14:paraId="0C9A7C96">
        <w:tblPrEx>
          <w:tblCellMar>
            <w:top w:w="0" w:type="dxa"/>
            <w:left w:w="108" w:type="dxa"/>
            <w:bottom w:w="0" w:type="dxa"/>
            <w:right w:w="108" w:type="dxa"/>
          </w:tblCellMar>
        </w:tblPrEx>
        <w:trPr>
          <w:cantSplit/>
          <w:trHeight w:val="600" w:hRule="atLeast"/>
        </w:trPr>
        <w:tc>
          <w:tcPr>
            <w:tcW w:w="598" w:type="dxa"/>
            <w:vMerge w:val="continue"/>
            <w:tcBorders>
              <w:top w:val="nil"/>
              <w:left w:val="single" w:color="auto" w:sz="4" w:space="0"/>
              <w:bottom w:val="single" w:color="auto" w:sz="4" w:space="0"/>
              <w:right w:val="single" w:color="auto" w:sz="4" w:space="0"/>
            </w:tcBorders>
            <w:vAlign w:val="center"/>
          </w:tcPr>
          <w:p w14:paraId="312F2A40">
            <w:pPr>
              <w:rPr>
                <w:rFonts w:hint="eastAsia" w:ascii="宋体" w:hAnsi="宋体" w:eastAsia="宋体" w:cs="宋体"/>
                <w:color w:val="000000"/>
                <w:sz w:val="18"/>
                <w:szCs w:val="18"/>
                <w:lang w:eastAsia="zh-CN"/>
              </w:rPr>
            </w:pPr>
          </w:p>
        </w:tc>
        <w:tc>
          <w:tcPr>
            <w:tcW w:w="707" w:type="dxa"/>
            <w:vMerge w:val="continue"/>
            <w:tcBorders>
              <w:left w:val="nil"/>
              <w:right w:val="single" w:color="auto" w:sz="4" w:space="0"/>
            </w:tcBorders>
            <w:vAlign w:val="center"/>
          </w:tcPr>
          <w:p w14:paraId="7974B3AF">
            <w:pPr>
              <w:jc w:val="center"/>
              <w:rPr>
                <w:rFonts w:hint="eastAsia" w:ascii="宋体" w:hAnsi="宋体" w:eastAsia="宋体" w:cs="宋体"/>
                <w:color w:val="000000"/>
                <w:sz w:val="18"/>
                <w:szCs w:val="18"/>
                <w:lang w:eastAsia="zh-CN"/>
              </w:rPr>
            </w:pPr>
          </w:p>
        </w:tc>
        <w:tc>
          <w:tcPr>
            <w:tcW w:w="718" w:type="dxa"/>
            <w:vMerge w:val="continue"/>
            <w:tcBorders>
              <w:left w:val="nil"/>
              <w:bottom w:val="single" w:color="auto" w:sz="4" w:space="0"/>
              <w:right w:val="single" w:color="auto" w:sz="4" w:space="0"/>
            </w:tcBorders>
            <w:vAlign w:val="center"/>
          </w:tcPr>
          <w:p w14:paraId="0D1E49FF">
            <w:pPr>
              <w:jc w:val="center"/>
              <w:rPr>
                <w:rFonts w:hint="eastAsia" w:ascii="宋体" w:hAnsi="宋体" w:eastAsia="宋体" w:cs="宋体"/>
                <w:color w:val="000000"/>
                <w:sz w:val="18"/>
                <w:szCs w:val="18"/>
                <w:lang w:eastAsia="zh-CN"/>
              </w:rPr>
            </w:pPr>
          </w:p>
        </w:tc>
        <w:tc>
          <w:tcPr>
            <w:tcW w:w="1857" w:type="dxa"/>
            <w:gridSpan w:val="2"/>
            <w:tcBorders>
              <w:top w:val="single" w:color="auto" w:sz="4" w:space="0"/>
              <w:left w:val="nil"/>
              <w:bottom w:val="single" w:color="auto" w:sz="4" w:space="0"/>
              <w:right w:val="single" w:color="000000" w:sz="4" w:space="0"/>
            </w:tcBorders>
            <w:noWrap/>
            <w:vAlign w:val="center"/>
          </w:tcPr>
          <w:p w14:paraId="5E097435">
            <w:pPr>
              <w:rPr>
                <w:rFonts w:hint="eastAsia" w:ascii="宋体" w:hAnsi="宋体" w:eastAsia="宋体" w:cs="宋体"/>
                <w:color w:val="000000"/>
                <w:sz w:val="18"/>
                <w:szCs w:val="18"/>
              </w:rPr>
            </w:pPr>
            <w:r>
              <w:rPr>
                <w:rFonts w:hint="eastAsia" w:ascii="宋体" w:hAnsi="宋体" w:eastAsia="宋体" w:cs="宋体"/>
                <w:color w:val="000000"/>
                <w:sz w:val="18"/>
                <w:szCs w:val="18"/>
                <w:lang w:eastAsia="zh-CN"/>
              </w:rPr>
              <w:t>用</w:t>
            </w:r>
            <w:r>
              <w:rPr>
                <w:rFonts w:hint="eastAsia" w:ascii="宋体" w:hAnsi="宋体" w:eastAsia="宋体" w:cs="宋体"/>
                <w:color w:val="000000"/>
                <w:sz w:val="18"/>
                <w:szCs w:val="18"/>
              </w:rPr>
              <w:t>水量</w:t>
            </w:r>
          </w:p>
        </w:tc>
        <w:tc>
          <w:tcPr>
            <w:tcW w:w="1125" w:type="dxa"/>
            <w:tcBorders>
              <w:top w:val="nil"/>
              <w:left w:val="nil"/>
              <w:bottom w:val="single" w:color="auto" w:sz="4" w:space="0"/>
              <w:right w:val="single" w:color="auto" w:sz="4" w:space="0"/>
            </w:tcBorders>
            <w:vAlign w:val="center"/>
          </w:tcPr>
          <w:p w14:paraId="2BBBF46A">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&gt;=600立方米</w:t>
            </w:r>
          </w:p>
        </w:tc>
        <w:tc>
          <w:tcPr>
            <w:tcW w:w="1229" w:type="dxa"/>
            <w:tcBorders>
              <w:top w:val="nil"/>
              <w:left w:val="nil"/>
              <w:bottom w:val="single" w:color="auto" w:sz="4" w:space="0"/>
              <w:right w:val="single" w:color="auto" w:sz="4" w:space="0"/>
            </w:tcBorders>
            <w:vAlign w:val="center"/>
          </w:tcPr>
          <w:p w14:paraId="649C5435">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=15457立方米</w:t>
            </w:r>
          </w:p>
        </w:tc>
        <w:tc>
          <w:tcPr>
            <w:tcW w:w="755" w:type="dxa"/>
            <w:gridSpan w:val="2"/>
            <w:tcBorders>
              <w:top w:val="single" w:color="auto" w:sz="4" w:space="0"/>
              <w:left w:val="nil"/>
              <w:bottom w:val="single" w:color="auto" w:sz="4" w:space="0"/>
              <w:right w:val="single" w:color="000000" w:sz="4" w:space="0"/>
            </w:tcBorders>
            <w:vAlign w:val="center"/>
          </w:tcPr>
          <w:p w14:paraId="5C575CF4">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5</w:t>
            </w:r>
          </w:p>
        </w:tc>
        <w:tc>
          <w:tcPr>
            <w:tcW w:w="709" w:type="dxa"/>
            <w:gridSpan w:val="2"/>
            <w:tcBorders>
              <w:top w:val="single" w:color="auto" w:sz="4" w:space="0"/>
              <w:left w:val="nil"/>
              <w:bottom w:val="single" w:color="auto" w:sz="4" w:space="0"/>
              <w:right w:val="single" w:color="000000" w:sz="4" w:space="0"/>
            </w:tcBorders>
            <w:vAlign w:val="center"/>
          </w:tcPr>
          <w:p w14:paraId="1E95E578">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5</w:t>
            </w:r>
          </w:p>
        </w:tc>
        <w:tc>
          <w:tcPr>
            <w:tcW w:w="1984" w:type="dxa"/>
            <w:gridSpan w:val="2"/>
            <w:tcBorders>
              <w:top w:val="single" w:color="auto" w:sz="4" w:space="0"/>
              <w:left w:val="nil"/>
              <w:bottom w:val="single" w:color="auto" w:sz="4" w:space="0"/>
              <w:right w:val="single" w:color="auto" w:sz="4" w:space="0"/>
            </w:tcBorders>
            <w:vAlign w:val="center"/>
          </w:tcPr>
          <w:p w14:paraId="7790E47D">
            <w:pPr>
              <w:jc w:val="center"/>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指标值设置过于保守，用水量按照实际使用填写，后期加强指标设置。</w:t>
            </w:r>
          </w:p>
        </w:tc>
      </w:tr>
      <w:tr w14:paraId="7D7BB625">
        <w:tblPrEx>
          <w:tblCellMar>
            <w:top w:w="0" w:type="dxa"/>
            <w:left w:w="108" w:type="dxa"/>
            <w:bottom w:w="0" w:type="dxa"/>
            <w:right w:w="108" w:type="dxa"/>
          </w:tblCellMar>
        </w:tblPrEx>
        <w:trPr>
          <w:cantSplit/>
          <w:trHeight w:val="600" w:hRule="atLeast"/>
        </w:trPr>
        <w:tc>
          <w:tcPr>
            <w:tcW w:w="598" w:type="dxa"/>
            <w:vMerge w:val="continue"/>
            <w:tcBorders>
              <w:top w:val="nil"/>
              <w:left w:val="single" w:color="auto" w:sz="4" w:space="0"/>
              <w:bottom w:val="single" w:color="auto" w:sz="4" w:space="0"/>
              <w:right w:val="single" w:color="auto" w:sz="4" w:space="0"/>
            </w:tcBorders>
            <w:vAlign w:val="center"/>
          </w:tcPr>
          <w:p w14:paraId="1DAA2CA2">
            <w:pPr>
              <w:rPr>
                <w:rFonts w:hint="eastAsia" w:ascii="宋体" w:hAnsi="宋体" w:eastAsia="宋体" w:cs="宋体"/>
                <w:color w:val="000000"/>
                <w:sz w:val="18"/>
                <w:szCs w:val="18"/>
                <w:lang w:eastAsia="zh-CN"/>
              </w:rPr>
            </w:pPr>
          </w:p>
        </w:tc>
        <w:tc>
          <w:tcPr>
            <w:tcW w:w="707" w:type="dxa"/>
            <w:vMerge w:val="continue"/>
            <w:tcBorders>
              <w:left w:val="nil"/>
              <w:right w:val="single" w:color="auto" w:sz="4" w:space="0"/>
            </w:tcBorders>
            <w:vAlign w:val="center"/>
          </w:tcPr>
          <w:p w14:paraId="247F07CA">
            <w:pPr>
              <w:jc w:val="center"/>
              <w:rPr>
                <w:rFonts w:hint="eastAsia" w:ascii="宋体" w:hAnsi="宋体" w:eastAsia="宋体" w:cs="宋体"/>
                <w:color w:val="000000"/>
                <w:sz w:val="18"/>
                <w:szCs w:val="18"/>
                <w:lang w:eastAsia="zh-CN"/>
              </w:rPr>
            </w:pPr>
          </w:p>
        </w:tc>
        <w:tc>
          <w:tcPr>
            <w:tcW w:w="718" w:type="dxa"/>
            <w:vMerge w:val="restart"/>
            <w:tcBorders>
              <w:top w:val="nil"/>
              <w:left w:val="nil"/>
              <w:right w:val="single" w:color="auto" w:sz="4" w:space="0"/>
            </w:tcBorders>
            <w:vAlign w:val="center"/>
          </w:tcPr>
          <w:p w14:paraId="385A880E">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质量指标</w:t>
            </w:r>
          </w:p>
        </w:tc>
        <w:tc>
          <w:tcPr>
            <w:tcW w:w="1857" w:type="dxa"/>
            <w:gridSpan w:val="2"/>
            <w:tcBorders>
              <w:top w:val="single" w:color="auto" w:sz="4" w:space="0"/>
              <w:left w:val="nil"/>
              <w:bottom w:val="single" w:color="auto" w:sz="4" w:space="0"/>
              <w:right w:val="single" w:color="000000" w:sz="4" w:space="0"/>
            </w:tcBorders>
            <w:noWrap/>
            <w:vAlign w:val="center"/>
          </w:tcPr>
          <w:p w14:paraId="0422595B">
            <w:pPr>
              <w:rPr>
                <w:rFonts w:hint="eastAsia" w:ascii="宋体" w:hAnsi="宋体" w:eastAsia="宋体" w:cs="宋体"/>
                <w:color w:val="000000"/>
                <w:sz w:val="18"/>
                <w:szCs w:val="18"/>
              </w:rPr>
            </w:pPr>
            <w:r>
              <w:rPr>
                <w:rFonts w:hint="eastAsia" w:ascii="宋体" w:hAnsi="宋体" w:eastAsia="宋体" w:cs="宋体"/>
                <w:color w:val="000000"/>
                <w:sz w:val="18"/>
                <w:szCs w:val="18"/>
              </w:rPr>
              <w:t>办公大楼正常用电率</w:t>
            </w:r>
          </w:p>
        </w:tc>
        <w:tc>
          <w:tcPr>
            <w:tcW w:w="1125" w:type="dxa"/>
            <w:tcBorders>
              <w:top w:val="nil"/>
              <w:left w:val="nil"/>
              <w:bottom w:val="single" w:color="auto" w:sz="4" w:space="0"/>
              <w:right w:val="single" w:color="auto" w:sz="4" w:space="0"/>
            </w:tcBorders>
            <w:vAlign w:val="center"/>
          </w:tcPr>
          <w:p w14:paraId="34CAAA7D">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&gt;=98%</w:t>
            </w:r>
          </w:p>
        </w:tc>
        <w:tc>
          <w:tcPr>
            <w:tcW w:w="1229" w:type="dxa"/>
            <w:tcBorders>
              <w:top w:val="nil"/>
              <w:left w:val="nil"/>
              <w:bottom w:val="single" w:color="auto" w:sz="4" w:space="0"/>
              <w:right w:val="single" w:color="auto" w:sz="4" w:space="0"/>
            </w:tcBorders>
            <w:vAlign w:val="center"/>
          </w:tcPr>
          <w:p w14:paraId="5DFB3A40">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=100%</w:t>
            </w:r>
          </w:p>
        </w:tc>
        <w:tc>
          <w:tcPr>
            <w:tcW w:w="755" w:type="dxa"/>
            <w:gridSpan w:val="2"/>
            <w:tcBorders>
              <w:top w:val="single" w:color="auto" w:sz="4" w:space="0"/>
              <w:left w:val="nil"/>
              <w:bottom w:val="single" w:color="auto" w:sz="4" w:space="0"/>
              <w:right w:val="single" w:color="000000" w:sz="4" w:space="0"/>
            </w:tcBorders>
            <w:vAlign w:val="center"/>
          </w:tcPr>
          <w:p w14:paraId="09F695F9">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10</w:t>
            </w:r>
          </w:p>
        </w:tc>
        <w:tc>
          <w:tcPr>
            <w:tcW w:w="709" w:type="dxa"/>
            <w:gridSpan w:val="2"/>
            <w:tcBorders>
              <w:top w:val="single" w:color="auto" w:sz="4" w:space="0"/>
              <w:left w:val="nil"/>
              <w:bottom w:val="single" w:color="auto" w:sz="4" w:space="0"/>
              <w:right w:val="single" w:color="000000" w:sz="4" w:space="0"/>
            </w:tcBorders>
            <w:vAlign w:val="center"/>
          </w:tcPr>
          <w:p w14:paraId="53E43A70">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10</w:t>
            </w:r>
          </w:p>
        </w:tc>
        <w:tc>
          <w:tcPr>
            <w:tcW w:w="1984" w:type="dxa"/>
            <w:gridSpan w:val="2"/>
            <w:tcBorders>
              <w:top w:val="single" w:color="auto" w:sz="4" w:space="0"/>
              <w:left w:val="nil"/>
              <w:bottom w:val="single" w:color="auto" w:sz="4" w:space="0"/>
              <w:right w:val="single" w:color="auto" w:sz="4" w:space="0"/>
            </w:tcBorders>
            <w:vAlign w:val="center"/>
          </w:tcPr>
          <w:p w14:paraId="75A2B160">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已完成</w:t>
            </w:r>
          </w:p>
        </w:tc>
      </w:tr>
      <w:tr w14:paraId="13FD8E57">
        <w:tblPrEx>
          <w:tblCellMar>
            <w:top w:w="0" w:type="dxa"/>
            <w:left w:w="108" w:type="dxa"/>
            <w:bottom w:w="0" w:type="dxa"/>
            <w:right w:w="108" w:type="dxa"/>
          </w:tblCellMar>
        </w:tblPrEx>
        <w:trPr>
          <w:cantSplit/>
          <w:trHeight w:val="600" w:hRule="atLeast"/>
        </w:trPr>
        <w:tc>
          <w:tcPr>
            <w:tcW w:w="598" w:type="dxa"/>
            <w:vMerge w:val="continue"/>
            <w:tcBorders>
              <w:top w:val="nil"/>
              <w:left w:val="single" w:color="auto" w:sz="4" w:space="0"/>
              <w:bottom w:val="single" w:color="auto" w:sz="4" w:space="0"/>
              <w:right w:val="single" w:color="auto" w:sz="4" w:space="0"/>
            </w:tcBorders>
            <w:vAlign w:val="center"/>
          </w:tcPr>
          <w:p w14:paraId="0E079677">
            <w:pPr>
              <w:rPr>
                <w:rFonts w:hint="eastAsia" w:ascii="宋体" w:hAnsi="宋体" w:eastAsia="宋体" w:cs="宋体"/>
                <w:color w:val="000000"/>
                <w:sz w:val="18"/>
                <w:szCs w:val="18"/>
              </w:rPr>
            </w:pPr>
          </w:p>
        </w:tc>
        <w:tc>
          <w:tcPr>
            <w:tcW w:w="707" w:type="dxa"/>
            <w:vMerge w:val="continue"/>
            <w:tcBorders>
              <w:left w:val="nil"/>
              <w:right w:val="single" w:color="auto" w:sz="4" w:space="0"/>
            </w:tcBorders>
            <w:vAlign w:val="center"/>
          </w:tcPr>
          <w:p w14:paraId="542411CB">
            <w:pPr>
              <w:jc w:val="center"/>
              <w:rPr>
                <w:rFonts w:hint="eastAsia" w:ascii="宋体" w:hAnsi="宋体" w:eastAsia="宋体" w:cs="宋体"/>
                <w:color w:val="000000"/>
                <w:sz w:val="18"/>
                <w:szCs w:val="18"/>
              </w:rPr>
            </w:pPr>
          </w:p>
        </w:tc>
        <w:tc>
          <w:tcPr>
            <w:tcW w:w="718" w:type="dxa"/>
            <w:vMerge w:val="continue"/>
            <w:tcBorders>
              <w:left w:val="nil"/>
              <w:bottom w:val="single" w:color="auto" w:sz="4" w:space="0"/>
              <w:right w:val="single" w:color="auto" w:sz="4" w:space="0"/>
            </w:tcBorders>
            <w:vAlign w:val="center"/>
          </w:tcPr>
          <w:p w14:paraId="06CB8C4A">
            <w:pPr>
              <w:jc w:val="center"/>
              <w:rPr>
                <w:rFonts w:hint="eastAsia" w:ascii="宋体" w:hAnsi="宋体" w:eastAsia="宋体" w:cs="宋体"/>
                <w:color w:val="000000"/>
                <w:sz w:val="18"/>
                <w:szCs w:val="18"/>
              </w:rPr>
            </w:pPr>
          </w:p>
        </w:tc>
        <w:tc>
          <w:tcPr>
            <w:tcW w:w="1857" w:type="dxa"/>
            <w:gridSpan w:val="2"/>
            <w:tcBorders>
              <w:top w:val="single" w:color="auto" w:sz="4" w:space="0"/>
              <w:left w:val="nil"/>
              <w:bottom w:val="single" w:color="auto" w:sz="4" w:space="0"/>
              <w:right w:val="single" w:color="000000" w:sz="4" w:space="0"/>
            </w:tcBorders>
            <w:noWrap/>
            <w:vAlign w:val="center"/>
          </w:tcPr>
          <w:p w14:paraId="49D1A9CE">
            <w:pPr>
              <w:rPr>
                <w:rFonts w:hint="eastAsia" w:ascii="宋体" w:hAnsi="宋体" w:eastAsia="宋体" w:cs="宋体"/>
                <w:color w:val="000000"/>
                <w:sz w:val="18"/>
                <w:szCs w:val="18"/>
              </w:rPr>
            </w:pPr>
            <w:r>
              <w:rPr>
                <w:rFonts w:hint="eastAsia" w:ascii="宋体" w:hAnsi="宋体" w:eastAsia="宋体" w:cs="宋体"/>
                <w:color w:val="000000"/>
                <w:sz w:val="18"/>
                <w:szCs w:val="18"/>
              </w:rPr>
              <w:t>办公大楼正常用水率</w:t>
            </w:r>
          </w:p>
        </w:tc>
        <w:tc>
          <w:tcPr>
            <w:tcW w:w="1125" w:type="dxa"/>
            <w:tcBorders>
              <w:top w:val="nil"/>
              <w:left w:val="nil"/>
              <w:bottom w:val="single" w:color="auto" w:sz="4" w:space="0"/>
              <w:right w:val="single" w:color="auto" w:sz="4" w:space="0"/>
            </w:tcBorders>
            <w:vAlign w:val="center"/>
          </w:tcPr>
          <w:p w14:paraId="0B6C2326">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&gt;=98%</w:t>
            </w:r>
          </w:p>
        </w:tc>
        <w:tc>
          <w:tcPr>
            <w:tcW w:w="1229" w:type="dxa"/>
            <w:tcBorders>
              <w:top w:val="nil"/>
              <w:left w:val="nil"/>
              <w:bottom w:val="single" w:color="auto" w:sz="4" w:space="0"/>
              <w:right w:val="single" w:color="auto" w:sz="4" w:space="0"/>
            </w:tcBorders>
            <w:vAlign w:val="center"/>
          </w:tcPr>
          <w:p w14:paraId="4E8D1E14">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=100%</w:t>
            </w:r>
          </w:p>
        </w:tc>
        <w:tc>
          <w:tcPr>
            <w:tcW w:w="755" w:type="dxa"/>
            <w:gridSpan w:val="2"/>
            <w:tcBorders>
              <w:top w:val="single" w:color="auto" w:sz="4" w:space="0"/>
              <w:left w:val="nil"/>
              <w:bottom w:val="single" w:color="auto" w:sz="4" w:space="0"/>
              <w:right w:val="single" w:color="000000" w:sz="4" w:space="0"/>
            </w:tcBorders>
            <w:vAlign w:val="center"/>
          </w:tcPr>
          <w:p w14:paraId="16C7C4BA">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10</w:t>
            </w:r>
          </w:p>
        </w:tc>
        <w:tc>
          <w:tcPr>
            <w:tcW w:w="709" w:type="dxa"/>
            <w:gridSpan w:val="2"/>
            <w:tcBorders>
              <w:top w:val="single" w:color="auto" w:sz="4" w:space="0"/>
              <w:left w:val="nil"/>
              <w:bottom w:val="single" w:color="auto" w:sz="4" w:space="0"/>
              <w:right w:val="single" w:color="000000" w:sz="4" w:space="0"/>
            </w:tcBorders>
            <w:vAlign w:val="center"/>
          </w:tcPr>
          <w:p w14:paraId="08D2D6C9">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10</w:t>
            </w:r>
          </w:p>
        </w:tc>
        <w:tc>
          <w:tcPr>
            <w:tcW w:w="1984" w:type="dxa"/>
            <w:gridSpan w:val="2"/>
            <w:tcBorders>
              <w:top w:val="single" w:color="auto" w:sz="4" w:space="0"/>
              <w:left w:val="nil"/>
              <w:bottom w:val="single" w:color="auto" w:sz="4" w:space="0"/>
              <w:right w:val="single" w:color="auto" w:sz="4" w:space="0"/>
            </w:tcBorders>
            <w:vAlign w:val="center"/>
          </w:tcPr>
          <w:p w14:paraId="1B868DE0">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已完成</w:t>
            </w:r>
          </w:p>
        </w:tc>
      </w:tr>
      <w:tr w14:paraId="374320A1">
        <w:tblPrEx>
          <w:tblCellMar>
            <w:top w:w="0" w:type="dxa"/>
            <w:left w:w="108" w:type="dxa"/>
            <w:bottom w:w="0" w:type="dxa"/>
            <w:right w:w="108" w:type="dxa"/>
          </w:tblCellMar>
        </w:tblPrEx>
        <w:trPr>
          <w:cantSplit/>
          <w:trHeight w:val="600" w:hRule="atLeast"/>
        </w:trPr>
        <w:tc>
          <w:tcPr>
            <w:tcW w:w="598" w:type="dxa"/>
            <w:vMerge w:val="continue"/>
            <w:tcBorders>
              <w:top w:val="nil"/>
              <w:left w:val="single" w:color="auto" w:sz="4" w:space="0"/>
              <w:bottom w:val="single" w:color="auto" w:sz="4" w:space="0"/>
              <w:right w:val="single" w:color="auto" w:sz="4" w:space="0"/>
            </w:tcBorders>
            <w:vAlign w:val="center"/>
          </w:tcPr>
          <w:p w14:paraId="014A496B">
            <w:pPr>
              <w:rPr>
                <w:rFonts w:hint="eastAsia" w:ascii="宋体" w:hAnsi="宋体" w:eastAsia="宋体" w:cs="宋体"/>
                <w:color w:val="000000"/>
                <w:sz w:val="18"/>
                <w:szCs w:val="18"/>
              </w:rPr>
            </w:pPr>
          </w:p>
        </w:tc>
        <w:tc>
          <w:tcPr>
            <w:tcW w:w="707" w:type="dxa"/>
            <w:vMerge w:val="continue"/>
            <w:tcBorders>
              <w:left w:val="nil"/>
              <w:bottom w:val="single" w:color="auto" w:sz="4" w:space="0"/>
              <w:right w:val="single" w:color="auto" w:sz="4" w:space="0"/>
            </w:tcBorders>
            <w:vAlign w:val="center"/>
          </w:tcPr>
          <w:p w14:paraId="19EF4EFD">
            <w:pPr>
              <w:jc w:val="center"/>
              <w:rPr>
                <w:rFonts w:hint="eastAsia" w:ascii="宋体" w:hAnsi="宋体" w:eastAsia="宋体" w:cs="宋体"/>
                <w:color w:val="000000"/>
                <w:sz w:val="18"/>
                <w:szCs w:val="18"/>
              </w:rPr>
            </w:pPr>
          </w:p>
        </w:tc>
        <w:tc>
          <w:tcPr>
            <w:tcW w:w="718" w:type="dxa"/>
            <w:tcBorders>
              <w:top w:val="nil"/>
              <w:left w:val="nil"/>
              <w:bottom w:val="single" w:color="auto" w:sz="4" w:space="0"/>
              <w:right w:val="single" w:color="auto" w:sz="4" w:space="0"/>
            </w:tcBorders>
            <w:vAlign w:val="center"/>
          </w:tcPr>
          <w:p w14:paraId="0CB5ED79">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时效指标</w:t>
            </w:r>
          </w:p>
        </w:tc>
        <w:tc>
          <w:tcPr>
            <w:tcW w:w="1857" w:type="dxa"/>
            <w:gridSpan w:val="2"/>
            <w:tcBorders>
              <w:top w:val="single" w:color="auto" w:sz="4" w:space="0"/>
              <w:left w:val="nil"/>
              <w:bottom w:val="single" w:color="auto" w:sz="4" w:space="0"/>
              <w:right w:val="single" w:color="000000" w:sz="4" w:space="0"/>
            </w:tcBorders>
            <w:noWrap/>
            <w:vAlign w:val="center"/>
          </w:tcPr>
          <w:p w14:paraId="3A63E45B">
            <w:pPr>
              <w:rPr>
                <w:rFonts w:hint="eastAsia" w:ascii="宋体" w:hAnsi="宋体" w:eastAsia="宋体" w:cs="宋体"/>
                <w:color w:val="000000"/>
                <w:sz w:val="18"/>
                <w:szCs w:val="18"/>
              </w:rPr>
            </w:pPr>
            <w:r>
              <w:rPr>
                <w:rFonts w:hint="eastAsia" w:ascii="宋体" w:hAnsi="宋体" w:eastAsia="宋体" w:cs="宋体"/>
                <w:color w:val="000000"/>
                <w:sz w:val="18"/>
                <w:szCs w:val="18"/>
              </w:rPr>
              <w:t>资金支付的及时率</w:t>
            </w:r>
          </w:p>
        </w:tc>
        <w:tc>
          <w:tcPr>
            <w:tcW w:w="1125" w:type="dxa"/>
            <w:tcBorders>
              <w:top w:val="nil"/>
              <w:left w:val="nil"/>
              <w:bottom w:val="single" w:color="auto" w:sz="4" w:space="0"/>
              <w:right w:val="single" w:color="auto" w:sz="4" w:space="0"/>
            </w:tcBorders>
            <w:vAlign w:val="center"/>
          </w:tcPr>
          <w:p w14:paraId="253C4B64">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=100%</w:t>
            </w:r>
          </w:p>
        </w:tc>
        <w:tc>
          <w:tcPr>
            <w:tcW w:w="1229" w:type="dxa"/>
            <w:tcBorders>
              <w:top w:val="nil"/>
              <w:left w:val="nil"/>
              <w:bottom w:val="single" w:color="auto" w:sz="4" w:space="0"/>
              <w:right w:val="single" w:color="auto" w:sz="4" w:space="0"/>
            </w:tcBorders>
            <w:vAlign w:val="center"/>
          </w:tcPr>
          <w:p w14:paraId="152512B3">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=100%</w:t>
            </w:r>
          </w:p>
        </w:tc>
        <w:tc>
          <w:tcPr>
            <w:tcW w:w="755" w:type="dxa"/>
            <w:gridSpan w:val="2"/>
            <w:tcBorders>
              <w:top w:val="single" w:color="auto" w:sz="4" w:space="0"/>
              <w:left w:val="nil"/>
              <w:bottom w:val="single" w:color="auto" w:sz="4" w:space="0"/>
              <w:right w:val="single" w:color="000000" w:sz="4" w:space="0"/>
            </w:tcBorders>
            <w:vAlign w:val="center"/>
          </w:tcPr>
          <w:p w14:paraId="4A4B088F">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10</w:t>
            </w:r>
          </w:p>
        </w:tc>
        <w:tc>
          <w:tcPr>
            <w:tcW w:w="709" w:type="dxa"/>
            <w:gridSpan w:val="2"/>
            <w:tcBorders>
              <w:top w:val="single" w:color="auto" w:sz="4" w:space="0"/>
              <w:left w:val="nil"/>
              <w:bottom w:val="single" w:color="auto" w:sz="4" w:space="0"/>
              <w:right w:val="single" w:color="000000" w:sz="4" w:space="0"/>
            </w:tcBorders>
            <w:vAlign w:val="center"/>
          </w:tcPr>
          <w:p w14:paraId="3B94443F">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10</w:t>
            </w:r>
          </w:p>
        </w:tc>
        <w:tc>
          <w:tcPr>
            <w:tcW w:w="1984" w:type="dxa"/>
            <w:gridSpan w:val="2"/>
            <w:tcBorders>
              <w:top w:val="single" w:color="auto" w:sz="4" w:space="0"/>
              <w:left w:val="nil"/>
              <w:bottom w:val="single" w:color="auto" w:sz="4" w:space="0"/>
              <w:right w:val="single" w:color="auto" w:sz="4" w:space="0"/>
            </w:tcBorders>
            <w:vAlign w:val="center"/>
          </w:tcPr>
          <w:p w14:paraId="420AE6C0">
            <w:pPr>
              <w:jc w:val="center"/>
              <w:rPr>
                <w:rFonts w:hint="eastAsia" w:ascii="宋体" w:hAnsi="宋体" w:eastAsia="宋体" w:cs="宋体"/>
                <w:color w:val="000000"/>
                <w:sz w:val="18"/>
                <w:szCs w:val="18"/>
              </w:rPr>
            </w:pPr>
          </w:p>
        </w:tc>
      </w:tr>
      <w:tr w14:paraId="570D043A">
        <w:tblPrEx>
          <w:tblCellMar>
            <w:top w:w="0" w:type="dxa"/>
            <w:left w:w="108" w:type="dxa"/>
            <w:bottom w:w="0" w:type="dxa"/>
            <w:right w:w="108" w:type="dxa"/>
          </w:tblCellMar>
        </w:tblPrEx>
        <w:trPr>
          <w:cantSplit/>
          <w:trHeight w:val="600" w:hRule="atLeast"/>
        </w:trPr>
        <w:tc>
          <w:tcPr>
            <w:tcW w:w="598" w:type="dxa"/>
            <w:vMerge w:val="continue"/>
            <w:tcBorders>
              <w:top w:val="nil"/>
              <w:left w:val="single" w:color="auto" w:sz="4" w:space="0"/>
              <w:bottom w:val="single" w:color="auto" w:sz="4" w:space="0"/>
              <w:right w:val="single" w:color="auto" w:sz="4" w:space="0"/>
            </w:tcBorders>
            <w:vAlign w:val="center"/>
          </w:tcPr>
          <w:p w14:paraId="254781E7">
            <w:pPr>
              <w:rPr>
                <w:rFonts w:hint="eastAsia" w:ascii="宋体" w:hAnsi="宋体" w:eastAsia="宋体" w:cs="宋体"/>
                <w:color w:val="000000"/>
                <w:sz w:val="18"/>
                <w:szCs w:val="18"/>
              </w:rPr>
            </w:pPr>
          </w:p>
        </w:tc>
        <w:tc>
          <w:tcPr>
            <w:tcW w:w="707" w:type="dxa"/>
            <w:vMerge w:val="restart"/>
            <w:tcBorders>
              <w:top w:val="nil"/>
              <w:left w:val="nil"/>
              <w:right w:val="single" w:color="auto" w:sz="4" w:space="0"/>
            </w:tcBorders>
            <w:vAlign w:val="center"/>
          </w:tcPr>
          <w:p w14:paraId="434F4459">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成本指标</w:t>
            </w:r>
          </w:p>
        </w:tc>
        <w:tc>
          <w:tcPr>
            <w:tcW w:w="718" w:type="dxa"/>
            <w:vMerge w:val="restart"/>
            <w:tcBorders>
              <w:top w:val="nil"/>
              <w:left w:val="nil"/>
              <w:right w:val="single" w:color="auto" w:sz="4" w:space="0"/>
            </w:tcBorders>
            <w:vAlign w:val="center"/>
          </w:tcPr>
          <w:p w14:paraId="52FDE478">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经济成本指标</w:t>
            </w:r>
          </w:p>
        </w:tc>
        <w:tc>
          <w:tcPr>
            <w:tcW w:w="1857" w:type="dxa"/>
            <w:gridSpan w:val="2"/>
            <w:tcBorders>
              <w:top w:val="single" w:color="auto" w:sz="4" w:space="0"/>
              <w:left w:val="nil"/>
              <w:bottom w:val="single" w:color="auto" w:sz="4" w:space="0"/>
              <w:right w:val="single" w:color="000000" w:sz="4" w:space="0"/>
            </w:tcBorders>
            <w:noWrap/>
            <w:vAlign w:val="center"/>
          </w:tcPr>
          <w:p w14:paraId="7132BD23">
            <w:pPr>
              <w:rPr>
                <w:rFonts w:hint="eastAsia" w:ascii="宋体" w:hAnsi="宋体" w:eastAsia="宋体" w:cs="宋体"/>
                <w:color w:val="000000"/>
                <w:sz w:val="18"/>
                <w:szCs w:val="18"/>
              </w:rPr>
            </w:pPr>
            <w:r>
              <w:rPr>
                <w:rFonts w:hint="eastAsia" w:ascii="宋体" w:hAnsi="宋体" w:eastAsia="宋体" w:cs="宋体"/>
                <w:color w:val="000000"/>
                <w:sz w:val="18"/>
                <w:szCs w:val="18"/>
              </w:rPr>
              <w:t>电费成本</w:t>
            </w:r>
          </w:p>
        </w:tc>
        <w:tc>
          <w:tcPr>
            <w:tcW w:w="1125" w:type="dxa"/>
            <w:tcBorders>
              <w:top w:val="nil"/>
              <w:left w:val="nil"/>
              <w:bottom w:val="single" w:color="auto" w:sz="4" w:space="0"/>
              <w:right w:val="single" w:color="auto" w:sz="4" w:space="0"/>
            </w:tcBorders>
            <w:vAlign w:val="center"/>
          </w:tcPr>
          <w:p w14:paraId="428ED6FC">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&lt;=15.60万元</w:t>
            </w:r>
          </w:p>
        </w:tc>
        <w:tc>
          <w:tcPr>
            <w:tcW w:w="1229" w:type="dxa"/>
            <w:tcBorders>
              <w:top w:val="nil"/>
              <w:left w:val="nil"/>
              <w:bottom w:val="single" w:color="auto" w:sz="4" w:space="0"/>
              <w:right w:val="single" w:color="auto" w:sz="4" w:space="0"/>
            </w:tcBorders>
            <w:vAlign w:val="center"/>
          </w:tcPr>
          <w:p w14:paraId="7CDA5158">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=15.6万元</w:t>
            </w:r>
          </w:p>
        </w:tc>
        <w:tc>
          <w:tcPr>
            <w:tcW w:w="755" w:type="dxa"/>
            <w:gridSpan w:val="2"/>
            <w:tcBorders>
              <w:top w:val="single" w:color="auto" w:sz="4" w:space="0"/>
              <w:left w:val="nil"/>
              <w:bottom w:val="single" w:color="auto" w:sz="4" w:space="0"/>
              <w:right w:val="single" w:color="000000" w:sz="4" w:space="0"/>
            </w:tcBorders>
            <w:vAlign w:val="center"/>
          </w:tcPr>
          <w:p w14:paraId="5E6F87F7">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10</w:t>
            </w:r>
          </w:p>
        </w:tc>
        <w:tc>
          <w:tcPr>
            <w:tcW w:w="709" w:type="dxa"/>
            <w:gridSpan w:val="2"/>
            <w:tcBorders>
              <w:top w:val="single" w:color="auto" w:sz="4" w:space="0"/>
              <w:left w:val="nil"/>
              <w:bottom w:val="single" w:color="auto" w:sz="4" w:space="0"/>
              <w:right w:val="single" w:color="000000" w:sz="4" w:space="0"/>
            </w:tcBorders>
            <w:vAlign w:val="center"/>
          </w:tcPr>
          <w:p w14:paraId="77BFF741">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10</w:t>
            </w:r>
          </w:p>
        </w:tc>
        <w:tc>
          <w:tcPr>
            <w:tcW w:w="1984" w:type="dxa"/>
            <w:gridSpan w:val="2"/>
            <w:tcBorders>
              <w:top w:val="single" w:color="auto" w:sz="4" w:space="0"/>
              <w:left w:val="nil"/>
              <w:bottom w:val="single" w:color="auto" w:sz="4" w:space="0"/>
              <w:right w:val="single" w:color="auto" w:sz="4" w:space="0"/>
            </w:tcBorders>
            <w:vAlign w:val="center"/>
          </w:tcPr>
          <w:p w14:paraId="1A7D615E">
            <w:pPr>
              <w:jc w:val="center"/>
              <w:rPr>
                <w:rFonts w:hint="eastAsia" w:ascii="宋体" w:hAnsi="宋体" w:eastAsia="宋体" w:cs="宋体"/>
                <w:color w:val="000000"/>
                <w:sz w:val="18"/>
                <w:szCs w:val="18"/>
              </w:rPr>
            </w:pPr>
          </w:p>
        </w:tc>
      </w:tr>
      <w:tr w14:paraId="56D9C244">
        <w:tblPrEx>
          <w:tblCellMar>
            <w:top w:w="0" w:type="dxa"/>
            <w:left w:w="108" w:type="dxa"/>
            <w:bottom w:w="0" w:type="dxa"/>
            <w:right w:w="108" w:type="dxa"/>
          </w:tblCellMar>
        </w:tblPrEx>
        <w:trPr>
          <w:cantSplit/>
          <w:trHeight w:val="600" w:hRule="atLeast"/>
        </w:trPr>
        <w:tc>
          <w:tcPr>
            <w:tcW w:w="598" w:type="dxa"/>
            <w:vMerge w:val="continue"/>
            <w:tcBorders>
              <w:top w:val="nil"/>
              <w:left w:val="single" w:color="auto" w:sz="4" w:space="0"/>
              <w:bottom w:val="single" w:color="auto" w:sz="4" w:space="0"/>
              <w:right w:val="single" w:color="auto" w:sz="4" w:space="0"/>
            </w:tcBorders>
            <w:vAlign w:val="center"/>
          </w:tcPr>
          <w:p w14:paraId="2967FDF0">
            <w:pPr>
              <w:rPr>
                <w:rFonts w:hint="eastAsia" w:ascii="宋体" w:hAnsi="宋体" w:eastAsia="宋体" w:cs="宋体"/>
                <w:color w:val="000000"/>
                <w:sz w:val="18"/>
                <w:szCs w:val="18"/>
              </w:rPr>
            </w:pPr>
          </w:p>
        </w:tc>
        <w:tc>
          <w:tcPr>
            <w:tcW w:w="707" w:type="dxa"/>
            <w:vMerge w:val="continue"/>
            <w:tcBorders>
              <w:left w:val="nil"/>
              <w:right w:val="single" w:color="auto" w:sz="4" w:space="0"/>
            </w:tcBorders>
            <w:vAlign w:val="center"/>
          </w:tcPr>
          <w:p w14:paraId="1585A400">
            <w:pPr>
              <w:jc w:val="center"/>
              <w:rPr>
                <w:rFonts w:hint="eastAsia" w:ascii="宋体" w:hAnsi="宋体" w:eastAsia="宋体" w:cs="宋体"/>
                <w:color w:val="000000"/>
                <w:sz w:val="18"/>
                <w:szCs w:val="18"/>
              </w:rPr>
            </w:pPr>
          </w:p>
        </w:tc>
        <w:tc>
          <w:tcPr>
            <w:tcW w:w="718" w:type="dxa"/>
            <w:vMerge w:val="continue"/>
            <w:tcBorders>
              <w:left w:val="nil"/>
              <w:right w:val="single" w:color="auto" w:sz="4" w:space="0"/>
            </w:tcBorders>
            <w:vAlign w:val="center"/>
          </w:tcPr>
          <w:p w14:paraId="42F1563D">
            <w:pPr>
              <w:jc w:val="center"/>
              <w:rPr>
                <w:rFonts w:hint="eastAsia" w:ascii="宋体" w:hAnsi="宋体" w:eastAsia="宋体" w:cs="宋体"/>
                <w:color w:val="000000"/>
                <w:sz w:val="18"/>
                <w:szCs w:val="18"/>
              </w:rPr>
            </w:pPr>
          </w:p>
        </w:tc>
        <w:tc>
          <w:tcPr>
            <w:tcW w:w="1857" w:type="dxa"/>
            <w:gridSpan w:val="2"/>
            <w:tcBorders>
              <w:top w:val="single" w:color="auto" w:sz="4" w:space="0"/>
              <w:left w:val="nil"/>
              <w:bottom w:val="single" w:color="auto" w:sz="4" w:space="0"/>
              <w:right w:val="single" w:color="000000" w:sz="4" w:space="0"/>
            </w:tcBorders>
            <w:noWrap/>
            <w:vAlign w:val="center"/>
          </w:tcPr>
          <w:p w14:paraId="3F862B84">
            <w:pPr>
              <w:rPr>
                <w:rFonts w:hint="eastAsia" w:ascii="宋体" w:hAnsi="宋体" w:eastAsia="宋体" w:cs="宋体"/>
                <w:color w:val="000000"/>
                <w:sz w:val="18"/>
                <w:szCs w:val="18"/>
              </w:rPr>
            </w:pPr>
            <w:r>
              <w:rPr>
                <w:rFonts w:hint="eastAsia" w:ascii="宋体" w:hAnsi="宋体" w:eastAsia="宋体" w:cs="宋体"/>
                <w:color w:val="000000"/>
                <w:sz w:val="18"/>
                <w:szCs w:val="18"/>
              </w:rPr>
              <w:t>水费成本</w:t>
            </w:r>
          </w:p>
        </w:tc>
        <w:tc>
          <w:tcPr>
            <w:tcW w:w="1125" w:type="dxa"/>
            <w:tcBorders>
              <w:top w:val="nil"/>
              <w:left w:val="nil"/>
              <w:bottom w:val="single" w:color="auto" w:sz="4" w:space="0"/>
              <w:right w:val="single" w:color="auto" w:sz="4" w:space="0"/>
            </w:tcBorders>
            <w:vAlign w:val="center"/>
          </w:tcPr>
          <w:p w14:paraId="19403A20">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&lt;=1.40万元</w:t>
            </w:r>
          </w:p>
        </w:tc>
        <w:tc>
          <w:tcPr>
            <w:tcW w:w="1229" w:type="dxa"/>
            <w:tcBorders>
              <w:top w:val="nil"/>
              <w:left w:val="nil"/>
              <w:bottom w:val="single" w:color="auto" w:sz="4" w:space="0"/>
              <w:right w:val="single" w:color="auto" w:sz="4" w:space="0"/>
            </w:tcBorders>
            <w:vAlign w:val="center"/>
          </w:tcPr>
          <w:p w14:paraId="5002A8ED">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=1.01万元</w:t>
            </w:r>
          </w:p>
        </w:tc>
        <w:tc>
          <w:tcPr>
            <w:tcW w:w="755" w:type="dxa"/>
            <w:gridSpan w:val="2"/>
            <w:tcBorders>
              <w:top w:val="single" w:color="auto" w:sz="4" w:space="0"/>
              <w:left w:val="nil"/>
              <w:bottom w:val="single" w:color="auto" w:sz="4" w:space="0"/>
              <w:right w:val="single" w:color="000000" w:sz="4" w:space="0"/>
            </w:tcBorders>
            <w:vAlign w:val="center"/>
          </w:tcPr>
          <w:p w14:paraId="11177AFF">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5</w:t>
            </w:r>
          </w:p>
        </w:tc>
        <w:tc>
          <w:tcPr>
            <w:tcW w:w="709" w:type="dxa"/>
            <w:gridSpan w:val="2"/>
            <w:tcBorders>
              <w:top w:val="single" w:color="auto" w:sz="4" w:space="0"/>
              <w:left w:val="nil"/>
              <w:bottom w:val="single" w:color="auto" w:sz="4" w:space="0"/>
              <w:right w:val="single" w:color="000000" w:sz="4" w:space="0"/>
            </w:tcBorders>
            <w:vAlign w:val="center"/>
          </w:tcPr>
          <w:p w14:paraId="4CD63585">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3.61</w:t>
            </w:r>
          </w:p>
        </w:tc>
        <w:tc>
          <w:tcPr>
            <w:tcW w:w="1984" w:type="dxa"/>
            <w:gridSpan w:val="2"/>
            <w:tcBorders>
              <w:top w:val="single" w:color="auto" w:sz="4" w:space="0"/>
              <w:left w:val="nil"/>
              <w:bottom w:val="single" w:color="auto" w:sz="4" w:space="0"/>
              <w:right w:val="single" w:color="auto" w:sz="4" w:space="0"/>
            </w:tcBorders>
            <w:vAlign w:val="center"/>
          </w:tcPr>
          <w:p w14:paraId="50D00196">
            <w:pPr>
              <w:jc w:val="center"/>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实际政法委大楼每月支付水费1.01万元</w:t>
            </w:r>
          </w:p>
        </w:tc>
      </w:tr>
      <w:tr w14:paraId="131CF617">
        <w:tblPrEx>
          <w:tblCellMar>
            <w:top w:w="0" w:type="dxa"/>
            <w:left w:w="108" w:type="dxa"/>
            <w:bottom w:w="0" w:type="dxa"/>
            <w:right w:w="108" w:type="dxa"/>
          </w:tblCellMar>
        </w:tblPrEx>
        <w:trPr>
          <w:cantSplit/>
          <w:trHeight w:val="600" w:hRule="atLeast"/>
        </w:trPr>
        <w:tc>
          <w:tcPr>
            <w:tcW w:w="598" w:type="dxa"/>
            <w:vMerge w:val="continue"/>
            <w:tcBorders>
              <w:top w:val="nil"/>
              <w:left w:val="single" w:color="auto" w:sz="4" w:space="0"/>
              <w:bottom w:val="single" w:color="auto" w:sz="4" w:space="0"/>
              <w:right w:val="single" w:color="auto" w:sz="4" w:space="0"/>
            </w:tcBorders>
            <w:vAlign w:val="center"/>
          </w:tcPr>
          <w:p w14:paraId="7AFE7E52">
            <w:pPr>
              <w:rPr>
                <w:rFonts w:hint="eastAsia" w:ascii="宋体" w:hAnsi="宋体" w:eastAsia="宋体" w:cs="宋体"/>
                <w:color w:val="000000"/>
                <w:sz w:val="18"/>
                <w:szCs w:val="18"/>
                <w:lang w:eastAsia="zh-CN"/>
              </w:rPr>
            </w:pPr>
          </w:p>
        </w:tc>
        <w:tc>
          <w:tcPr>
            <w:tcW w:w="707" w:type="dxa"/>
            <w:vMerge w:val="continue"/>
            <w:tcBorders>
              <w:left w:val="nil"/>
              <w:bottom w:val="single" w:color="auto" w:sz="4" w:space="0"/>
              <w:right w:val="single" w:color="auto" w:sz="4" w:space="0"/>
            </w:tcBorders>
            <w:vAlign w:val="center"/>
          </w:tcPr>
          <w:p w14:paraId="104104E8">
            <w:pPr>
              <w:jc w:val="center"/>
              <w:rPr>
                <w:rFonts w:hint="eastAsia" w:ascii="宋体" w:hAnsi="宋体" w:eastAsia="宋体" w:cs="宋体"/>
                <w:color w:val="000000"/>
                <w:sz w:val="18"/>
                <w:szCs w:val="18"/>
                <w:lang w:eastAsia="zh-CN"/>
              </w:rPr>
            </w:pPr>
          </w:p>
        </w:tc>
        <w:tc>
          <w:tcPr>
            <w:tcW w:w="718" w:type="dxa"/>
            <w:vMerge w:val="continue"/>
            <w:tcBorders>
              <w:left w:val="nil"/>
              <w:bottom w:val="single" w:color="auto" w:sz="4" w:space="0"/>
              <w:right w:val="single" w:color="auto" w:sz="4" w:space="0"/>
            </w:tcBorders>
            <w:vAlign w:val="center"/>
          </w:tcPr>
          <w:p w14:paraId="2965E82A">
            <w:pPr>
              <w:jc w:val="center"/>
              <w:rPr>
                <w:rFonts w:hint="eastAsia" w:ascii="宋体" w:hAnsi="宋体" w:eastAsia="宋体" w:cs="宋体"/>
                <w:color w:val="000000"/>
                <w:sz w:val="18"/>
                <w:szCs w:val="18"/>
                <w:lang w:eastAsia="zh-CN"/>
              </w:rPr>
            </w:pPr>
          </w:p>
        </w:tc>
        <w:tc>
          <w:tcPr>
            <w:tcW w:w="1857" w:type="dxa"/>
            <w:gridSpan w:val="2"/>
            <w:tcBorders>
              <w:top w:val="single" w:color="auto" w:sz="4" w:space="0"/>
              <w:left w:val="nil"/>
              <w:bottom w:val="single" w:color="auto" w:sz="4" w:space="0"/>
              <w:right w:val="single" w:color="000000" w:sz="4" w:space="0"/>
            </w:tcBorders>
            <w:noWrap/>
            <w:vAlign w:val="center"/>
          </w:tcPr>
          <w:p w14:paraId="4588495B">
            <w:pPr>
              <w:rPr>
                <w:rFonts w:hint="eastAsia" w:ascii="宋体" w:hAnsi="宋体" w:eastAsia="宋体" w:cs="宋体"/>
                <w:color w:val="000000"/>
                <w:sz w:val="18"/>
                <w:szCs w:val="18"/>
              </w:rPr>
            </w:pPr>
            <w:r>
              <w:rPr>
                <w:rFonts w:hint="eastAsia" w:ascii="宋体" w:hAnsi="宋体" w:eastAsia="宋体" w:cs="宋体"/>
                <w:color w:val="000000"/>
                <w:sz w:val="18"/>
                <w:szCs w:val="18"/>
              </w:rPr>
              <w:t>维护费成本</w:t>
            </w:r>
          </w:p>
        </w:tc>
        <w:tc>
          <w:tcPr>
            <w:tcW w:w="1125" w:type="dxa"/>
            <w:tcBorders>
              <w:top w:val="nil"/>
              <w:left w:val="nil"/>
              <w:bottom w:val="single" w:color="auto" w:sz="4" w:space="0"/>
              <w:right w:val="single" w:color="auto" w:sz="4" w:space="0"/>
            </w:tcBorders>
            <w:vAlign w:val="center"/>
          </w:tcPr>
          <w:p w14:paraId="18730772">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&lt;=2万元</w:t>
            </w:r>
          </w:p>
        </w:tc>
        <w:tc>
          <w:tcPr>
            <w:tcW w:w="1229" w:type="dxa"/>
            <w:tcBorders>
              <w:top w:val="nil"/>
              <w:left w:val="nil"/>
              <w:bottom w:val="single" w:color="auto" w:sz="4" w:space="0"/>
              <w:right w:val="single" w:color="auto" w:sz="4" w:space="0"/>
            </w:tcBorders>
            <w:vAlign w:val="center"/>
          </w:tcPr>
          <w:p w14:paraId="0FF15CA9">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=2万元</w:t>
            </w:r>
          </w:p>
        </w:tc>
        <w:tc>
          <w:tcPr>
            <w:tcW w:w="755" w:type="dxa"/>
            <w:gridSpan w:val="2"/>
            <w:tcBorders>
              <w:top w:val="single" w:color="auto" w:sz="4" w:space="0"/>
              <w:left w:val="nil"/>
              <w:bottom w:val="single" w:color="auto" w:sz="4" w:space="0"/>
              <w:right w:val="single" w:color="000000" w:sz="4" w:space="0"/>
            </w:tcBorders>
            <w:vAlign w:val="center"/>
          </w:tcPr>
          <w:p w14:paraId="397C745F">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5</w:t>
            </w:r>
          </w:p>
        </w:tc>
        <w:tc>
          <w:tcPr>
            <w:tcW w:w="709" w:type="dxa"/>
            <w:gridSpan w:val="2"/>
            <w:tcBorders>
              <w:top w:val="single" w:color="auto" w:sz="4" w:space="0"/>
              <w:left w:val="nil"/>
              <w:bottom w:val="single" w:color="auto" w:sz="4" w:space="0"/>
              <w:right w:val="single" w:color="000000" w:sz="4" w:space="0"/>
            </w:tcBorders>
            <w:vAlign w:val="center"/>
          </w:tcPr>
          <w:p w14:paraId="76892418">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5</w:t>
            </w:r>
          </w:p>
        </w:tc>
        <w:tc>
          <w:tcPr>
            <w:tcW w:w="1984" w:type="dxa"/>
            <w:gridSpan w:val="2"/>
            <w:tcBorders>
              <w:top w:val="single" w:color="auto" w:sz="4" w:space="0"/>
              <w:left w:val="nil"/>
              <w:bottom w:val="single" w:color="auto" w:sz="4" w:space="0"/>
              <w:right w:val="single" w:color="auto" w:sz="4" w:space="0"/>
            </w:tcBorders>
            <w:vAlign w:val="center"/>
          </w:tcPr>
          <w:p w14:paraId="063AA6C8">
            <w:pPr>
              <w:jc w:val="center"/>
              <w:rPr>
                <w:rFonts w:hint="eastAsia" w:ascii="宋体" w:hAnsi="宋体" w:eastAsia="宋体" w:cs="宋体"/>
                <w:color w:val="000000"/>
                <w:sz w:val="18"/>
                <w:szCs w:val="18"/>
              </w:rPr>
            </w:pPr>
          </w:p>
        </w:tc>
      </w:tr>
      <w:tr w14:paraId="36D390B3">
        <w:tblPrEx>
          <w:tblCellMar>
            <w:top w:w="0" w:type="dxa"/>
            <w:left w:w="108" w:type="dxa"/>
            <w:bottom w:w="0" w:type="dxa"/>
            <w:right w:w="108" w:type="dxa"/>
          </w:tblCellMar>
        </w:tblPrEx>
        <w:trPr>
          <w:cantSplit/>
          <w:trHeight w:val="600" w:hRule="atLeast"/>
        </w:trPr>
        <w:tc>
          <w:tcPr>
            <w:tcW w:w="598" w:type="dxa"/>
            <w:vMerge w:val="continue"/>
            <w:tcBorders>
              <w:top w:val="nil"/>
              <w:left w:val="single" w:color="auto" w:sz="4" w:space="0"/>
              <w:bottom w:val="single" w:color="auto" w:sz="4" w:space="0"/>
              <w:right w:val="single" w:color="auto" w:sz="4" w:space="0"/>
            </w:tcBorders>
            <w:vAlign w:val="center"/>
          </w:tcPr>
          <w:p w14:paraId="59198301">
            <w:pPr>
              <w:rPr>
                <w:rFonts w:hint="eastAsia" w:ascii="宋体" w:hAnsi="宋体" w:eastAsia="宋体" w:cs="宋体"/>
                <w:color w:val="000000"/>
                <w:sz w:val="18"/>
                <w:szCs w:val="18"/>
              </w:rPr>
            </w:pPr>
          </w:p>
        </w:tc>
        <w:tc>
          <w:tcPr>
            <w:tcW w:w="707" w:type="dxa"/>
            <w:tcBorders>
              <w:top w:val="nil"/>
              <w:left w:val="nil"/>
              <w:bottom w:val="single" w:color="auto" w:sz="4" w:space="0"/>
              <w:right w:val="single" w:color="auto" w:sz="4" w:space="0"/>
            </w:tcBorders>
            <w:vAlign w:val="center"/>
          </w:tcPr>
          <w:p w14:paraId="42C3B579">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效益指标</w:t>
            </w:r>
          </w:p>
        </w:tc>
        <w:tc>
          <w:tcPr>
            <w:tcW w:w="718" w:type="dxa"/>
            <w:tcBorders>
              <w:top w:val="nil"/>
              <w:left w:val="nil"/>
              <w:bottom w:val="single" w:color="auto" w:sz="4" w:space="0"/>
              <w:right w:val="single" w:color="auto" w:sz="4" w:space="0"/>
            </w:tcBorders>
            <w:vAlign w:val="center"/>
          </w:tcPr>
          <w:p w14:paraId="6915C350">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经济效益指标</w:t>
            </w:r>
          </w:p>
        </w:tc>
        <w:tc>
          <w:tcPr>
            <w:tcW w:w="1857" w:type="dxa"/>
            <w:gridSpan w:val="2"/>
            <w:tcBorders>
              <w:top w:val="single" w:color="auto" w:sz="4" w:space="0"/>
              <w:left w:val="nil"/>
              <w:bottom w:val="single" w:color="auto" w:sz="4" w:space="0"/>
              <w:right w:val="single" w:color="000000" w:sz="4" w:space="0"/>
            </w:tcBorders>
            <w:noWrap/>
            <w:vAlign w:val="center"/>
          </w:tcPr>
          <w:p w14:paraId="02F2C489">
            <w:pPr>
              <w:rPr>
                <w:rFonts w:hint="eastAsia" w:ascii="宋体" w:hAnsi="宋体" w:eastAsia="宋体" w:cs="宋体"/>
                <w:color w:val="000000"/>
                <w:sz w:val="18"/>
                <w:szCs w:val="18"/>
              </w:rPr>
            </w:pPr>
            <w:r>
              <w:rPr>
                <w:rFonts w:hint="eastAsia" w:ascii="宋体" w:hAnsi="宋体" w:eastAsia="宋体" w:cs="宋体"/>
                <w:color w:val="000000"/>
                <w:sz w:val="18"/>
                <w:szCs w:val="18"/>
              </w:rPr>
              <w:t>提高公众安全感</w:t>
            </w:r>
          </w:p>
        </w:tc>
        <w:tc>
          <w:tcPr>
            <w:tcW w:w="1125" w:type="dxa"/>
            <w:tcBorders>
              <w:top w:val="nil"/>
              <w:left w:val="nil"/>
              <w:bottom w:val="single" w:color="auto" w:sz="4" w:space="0"/>
              <w:right w:val="single" w:color="auto" w:sz="4" w:space="0"/>
            </w:tcBorders>
            <w:vAlign w:val="center"/>
          </w:tcPr>
          <w:p w14:paraId="366A6189">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有效提高</w:t>
            </w:r>
          </w:p>
        </w:tc>
        <w:tc>
          <w:tcPr>
            <w:tcW w:w="1229" w:type="dxa"/>
            <w:tcBorders>
              <w:top w:val="nil"/>
              <w:left w:val="nil"/>
              <w:bottom w:val="single" w:color="auto" w:sz="4" w:space="0"/>
              <w:right w:val="single" w:color="auto" w:sz="4" w:space="0"/>
            </w:tcBorders>
            <w:vAlign w:val="center"/>
          </w:tcPr>
          <w:p w14:paraId="2A2C8D3B">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完全达到预期</w:t>
            </w:r>
          </w:p>
        </w:tc>
        <w:tc>
          <w:tcPr>
            <w:tcW w:w="755" w:type="dxa"/>
            <w:gridSpan w:val="2"/>
            <w:tcBorders>
              <w:top w:val="single" w:color="auto" w:sz="4" w:space="0"/>
              <w:left w:val="nil"/>
              <w:bottom w:val="single" w:color="auto" w:sz="4" w:space="0"/>
              <w:right w:val="single" w:color="000000" w:sz="4" w:space="0"/>
            </w:tcBorders>
            <w:vAlign w:val="center"/>
          </w:tcPr>
          <w:p w14:paraId="0A32CD5B">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20</w:t>
            </w:r>
          </w:p>
        </w:tc>
        <w:tc>
          <w:tcPr>
            <w:tcW w:w="709" w:type="dxa"/>
            <w:gridSpan w:val="2"/>
            <w:tcBorders>
              <w:top w:val="single" w:color="auto" w:sz="4" w:space="0"/>
              <w:left w:val="nil"/>
              <w:bottom w:val="single" w:color="auto" w:sz="4" w:space="0"/>
              <w:right w:val="single" w:color="000000" w:sz="4" w:space="0"/>
            </w:tcBorders>
            <w:vAlign w:val="center"/>
          </w:tcPr>
          <w:p w14:paraId="59FCC305">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20</w:t>
            </w:r>
          </w:p>
        </w:tc>
        <w:tc>
          <w:tcPr>
            <w:tcW w:w="1984" w:type="dxa"/>
            <w:gridSpan w:val="2"/>
            <w:tcBorders>
              <w:top w:val="single" w:color="auto" w:sz="4" w:space="0"/>
              <w:left w:val="nil"/>
              <w:bottom w:val="single" w:color="auto" w:sz="4" w:space="0"/>
              <w:right w:val="single" w:color="auto" w:sz="4" w:space="0"/>
            </w:tcBorders>
            <w:vAlign w:val="center"/>
          </w:tcPr>
          <w:p w14:paraId="50D2820A">
            <w:pPr>
              <w:jc w:val="center"/>
              <w:rPr>
                <w:rFonts w:hint="eastAsia" w:ascii="宋体" w:hAnsi="宋体" w:eastAsia="宋体" w:cs="宋体"/>
                <w:color w:val="000000"/>
                <w:sz w:val="18"/>
                <w:szCs w:val="18"/>
              </w:rPr>
            </w:pPr>
          </w:p>
        </w:tc>
      </w:tr>
      <w:tr w14:paraId="2A37EB75">
        <w:tblPrEx>
          <w:tblCellMar>
            <w:top w:w="0" w:type="dxa"/>
            <w:left w:w="108" w:type="dxa"/>
            <w:bottom w:w="0" w:type="dxa"/>
            <w:right w:w="108" w:type="dxa"/>
          </w:tblCellMar>
        </w:tblPrEx>
        <w:trPr>
          <w:cantSplit/>
          <w:trHeight w:val="600" w:hRule="atLeast"/>
        </w:trPr>
        <w:tc>
          <w:tcPr>
            <w:tcW w:w="598" w:type="dxa"/>
            <w:vMerge w:val="continue"/>
            <w:tcBorders>
              <w:top w:val="nil"/>
              <w:left w:val="single" w:color="auto" w:sz="4" w:space="0"/>
              <w:bottom w:val="single" w:color="auto" w:sz="4" w:space="0"/>
              <w:right w:val="single" w:color="auto" w:sz="4" w:space="0"/>
            </w:tcBorders>
            <w:vAlign w:val="center"/>
          </w:tcPr>
          <w:p w14:paraId="6D62FF69">
            <w:pPr>
              <w:rPr>
                <w:rFonts w:hint="eastAsia" w:ascii="宋体" w:hAnsi="宋体" w:eastAsia="宋体" w:cs="宋体"/>
                <w:color w:val="000000"/>
                <w:sz w:val="18"/>
                <w:szCs w:val="18"/>
              </w:rPr>
            </w:pPr>
          </w:p>
        </w:tc>
        <w:tc>
          <w:tcPr>
            <w:tcW w:w="707" w:type="dxa"/>
            <w:tcBorders>
              <w:top w:val="nil"/>
              <w:left w:val="nil"/>
              <w:bottom w:val="single" w:color="auto" w:sz="4" w:space="0"/>
              <w:right w:val="single" w:color="auto" w:sz="4" w:space="0"/>
            </w:tcBorders>
            <w:vAlign w:val="center"/>
          </w:tcPr>
          <w:p w14:paraId="09ED5DED">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满意度指标</w:t>
            </w:r>
          </w:p>
        </w:tc>
        <w:tc>
          <w:tcPr>
            <w:tcW w:w="718" w:type="dxa"/>
            <w:tcBorders>
              <w:top w:val="nil"/>
              <w:left w:val="nil"/>
              <w:bottom w:val="single" w:color="auto" w:sz="4" w:space="0"/>
              <w:right w:val="single" w:color="auto" w:sz="4" w:space="0"/>
            </w:tcBorders>
            <w:vAlign w:val="center"/>
          </w:tcPr>
          <w:p w14:paraId="72390D75">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满意度指标</w:t>
            </w:r>
          </w:p>
        </w:tc>
        <w:tc>
          <w:tcPr>
            <w:tcW w:w="1857" w:type="dxa"/>
            <w:gridSpan w:val="2"/>
            <w:tcBorders>
              <w:top w:val="single" w:color="auto" w:sz="4" w:space="0"/>
              <w:left w:val="nil"/>
              <w:bottom w:val="single" w:color="auto" w:sz="4" w:space="0"/>
              <w:right w:val="single" w:color="000000" w:sz="4" w:space="0"/>
            </w:tcBorders>
            <w:noWrap/>
            <w:vAlign w:val="center"/>
          </w:tcPr>
          <w:p w14:paraId="11C642D5">
            <w:pPr>
              <w:rPr>
                <w:rFonts w:hint="eastAsia" w:ascii="宋体" w:hAnsi="宋体" w:eastAsia="宋体" w:cs="宋体"/>
                <w:color w:val="000000"/>
                <w:sz w:val="18"/>
                <w:szCs w:val="18"/>
              </w:rPr>
            </w:pPr>
            <w:r>
              <w:rPr>
                <w:rFonts w:hint="eastAsia" w:ascii="宋体" w:hAnsi="宋体" w:eastAsia="宋体" w:cs="宋体"/>
                <w:color w:val="000000"/>
                <w:sz w:val="18"/>
                <w:szCs w:val="18"/>
              </w:rPr>
              <w:t>工作人员满意度</w:t>
            </w:r>
          </w:p>
        </w:tc>
        <w:tc>
          <w:tcPr>
            <w:tcW w:w="1125" w:type="dxa"/>
            <w:tcBorders>
              <w:top w:val="nil"/>
              <w:left w:val="nil"/>
              <w:bottom w:val="single" w:color="auto" w:sz="4" w:space="0"/>
              <w:right w:val="single" w:color="auto" w:sz="4" w:space="0"/>
            </w:tcBorders>
            <w:vAlign w:val="center"/>
          </w:tcPr>
          <w:p w14:paraId="7DFEACA2">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&gt;=98%</w:t>
            </w:r>
          </w:p>
        </w:tc>
        <w:tc>
          <w:tcPr>
            <w:tcW w:w="1229" w:type="dxa"/>
            <w:tcBorders>
              <w:top w:val="nil"/>
              <w:left w:val="nil"/>
              <w:bottom w:val="single" w:color="auto" w:sz="4" w:space="0"/>
              <w:right w:val="single" w:color="auto" w:sz="4" w:space="0"/>
            </w:tcBorders>
            <w:vAlign w:val="center"/>
          </w:tcPr>
          <w:p w14:paraId="2E31B917">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=98%</w:t>
            </w:r>
          </w:p>
        </w:tc>
        <w:tc>
          <w:tcPr>
            <w:tcW w:w="755" w:type="dxa"/>
            <w:gridSpan w:val="2"/>
            <w:tcBorders>
              <w:top w:val="single" w:color="auto" w:sz="4" w:space="0"/>
              <w:left w:val="nil"/>
              <w:bottom w:val="single" w:color="auto" w:sz="4" w:space="0"/>
              <w:right w:val="single" w:color="000000" w:sz="4" w:space="0"/>
            </w:tcBorders>
            <w:vAlign w:val="center"/>
          </w:tcPr>
          <w:p w14:paraId="4496731C">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10</w:t>
            </w:r>
          </w:p>
        </w:tc>
        <w:tc>
          <w:tcPr>
            <w:tcW w:w="709" w:type="dxa"/>
            <w:gridSpan w:val="2"/>
            <w:tcBorders>
              <w:top w:val="single" w:color="auto" w:sz="4" w:space="0"/>
              <w:left w:val="nil"/>
              <w:bottom w:val="single" w:color="auto" w:sz="4" w:space="0"/>
              <w:right w:val="single" w:color="000000" w:sz="4" w:space="0"/>
            </w:tcBorders>
            <w:vAlign w:val="center"/>
          </w:tcPr>
          <w:p w14:paraId="5ACAC526">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10</w:t>
            </w:r>
          </w:p>
        </w:tc>
        <w:tc>
          <w:tcPr>
            <w:tcW w:w="1984" w:type="dxa"/>
            <w:gridSpan w:val="2"/>
            <w:tcBorders>
              <w:top w:val="single" w:color="auto" w:sz="4" w:space="0"/>
              <w:left w:val="nil"/>
              <w:bottom w:val="single" w:color="auto" w:sz="4" w:space="0"/>
              <w:right w:val="single" w:color="auto" w:sz="4" w:space="0"/>
            </w:tcBorders>
            <w:vAlign w:val="center"/>
          </w:tcPr>
          <w:p w14:paraId="2FFA23B0">
            <w:pPr>
              <w:jc w:val="center"/>
              <w:rPr>
                <w:rFonts w:hint="eastAsia" w:ascii="宋体" w:hAnsi="宋体" w:eastAsia="宋体" w:cs="宋体"/>
                <w:color w:val="000000"/>
                <w:sz w:val="18"/>
                <w:szCs w:val="18"/>
              </w:rPr>
            </w:pPr>
          </w:p>
        </w:tc>
      </w:tr>
      <w:tr w14:paraId="21DD72E1">
        <w:tblPrEx>
          <w:tblCellMar>
            <w:top w:w="0" w:type="dxa"/>
            <w:left w:w="108" w:type="dxa"/>
            <w:bottom w:w="0" w:type="dxa"/>
            <w:right w:w="108" w:type="dxa"/>
          </w:tblCellMar>
        </w:tblPrEx>
        <w:trPr>
          <w:cantSplit/>
          <w:trHeight w:val="500" w:hRule="atLeast"/>
        </w:trPr>
        <w:tc>
          <w:tcPr>
            <w:tcW w:w="6234" w:type="dxa"/>
            <w:gridSpan w:val="7"/>
            <w:tcBorders>
              <w:top w:val="single" w:color="auto" w:sz="4" w:space="0"/>
              <w:left w:val="single" w:color="auto" w:sz="4" w:space="0"/>
              <w:bottom w:val="single" w:color="auto" w:sz="4" w:space="0"/>
              <w:right w:val="single" w:color="auto" w:sz="4" w:space="0"/>
            </w:tcBorders>
            <w:vAlign w:val="center"/>
          </w:tcPr>
          <w:p w14:paraId="3E50BD26">
            <w:pPr>
              <w:jc w:val="center"/>
              <w:rPr>
                <w:rFonts w:hint="eastAsia" w:ascii="宋体" w:hAnsi="宋体" w:eastAsia="宋体" w:cs="宋体"/>
                <w:b/>
                <w:bCs/>
                <w:color w:val="000000"/>
                <w:sz w:val="18"/>
                <w:szCs w:val="18"/>
              </w:rPr>
            </w:pPr>
            <w:r>
              <w:rPr>
                <w:rFonts w:hint="eastAsia" w:ascii="宋体" w:hAnsi="宋体" w:eastAsia="宋体" w:cs="宋体"/>
                <w:b/>
                <w:bCs/>
                <w:color w:val="000000"/>
                <w:sz w:val="18"/>
                <w:szCs w:val="18"/>
              </w:rPr>
              <w:t>总分</w:t>
            </w:r>
          </w:p>
        </w:tc>
        <w:tc>
          <w:tcPr>
            <w:tcW w:w="755" w:type="dxa"/>
            <w:gridSpan w:val="2"/>
            <w:tcBorders>
              <w:top w:val="single" w:color="auto" w:sz="4" w:space="0"/>
              <w:left w:val="nil"/>
              <w:bottom w:val="single" w:color="auto" w:sz="4" w:space="0"/>
              <w:right w:val="single" w:color="auto" w:sz="4" w:space="0"/>
            </w:tcBorders>
            <w:vAlign w:val="center"/>
          </w:tcPr>
          <w:p w14:paraId="3A7525E2">
            <w:pPr>
              <w:jc w:val="center"/>
              <w:rPr>
                <w:rFonts w:hint="eastAsia" w:ascii="宋体" w:hAnsi="宋体" w:eastAsia="宋体" w:cs="宋体"/>
                <w:b/>
                <w:bCs/>
                <w:color w:val="000000"/>
                <w:sz w:val="18"/>
                <w:szCs w:val="18"/>
              </w:rPr>
            </w:pPr>
            <w:r>
              <w:rPr>
                <w:rFonts w:hint="eastAsia" w:ascii="宋体" w:hAnsi="宋体" w:eastAsia="宋体" w:cs="宋体"/>
                <w:b/>
                <w:bCs/>
                <w:color w:val="000000"/>
                <w:sz w:val="18"/>
                <w:szCs w:val="18"/>
              </w:rPr>
              <w:t>100</w:t>
            </w:r>
          </w:p>
        </w:tc>
        <w:tc>
          <w:tcPr>
            <w:tcW w:w="709" w:type="dxa"/>
            <w:gridSpan w:val="2"/>
            <w:tcBorders>
              <w:top w:val="single" w:color="auto" w:sz="4" w:space="0"/>
              <w:left w:val="nil"/>
              <w:bottom w:val="single" w:color="auto" w:sz="4" w:space="0"/>
              <w:right w:val="single" w:color="auto" w:sz="4" w:space="0"/>
            </w:tcBorders>
            <w:vAlign w:val="center"/>
          </w:tcPr>
          <w:p w14:paraId="3B3B2917">
            <w:pPr>
              <w:jc w:val="center"/>
              <w:rPr>
                <w:rFonts w:hint="eastAsia" w:ascii="宋体" w:hAnsi="宋体" w:eastAsia="宋体" w:cs="宋体"/>
                <w:b/>
                <w:bCs/>
                <w:color w:val="000000"/>
                <w:sz w:val="18"/>
                <w:szCs w:val="18"/>
              </w:rPr>
            </w:pPr>
            <w:r>
              <w:rPr>
                <w:rFonts w:hint="eastAsia" w:ascii="宋体" w:hAnsi="宋体" w:eastAsia="宋体" w:cs="宋体"/>
                <w:b/>
                <w:bCs/>
                <w:color w:val="000000"/>
                <w:sz w:val="18"/>
                <w:szCs w:val="18"/>
              </w:rPr>
              <w:t>96.54分</w:t>
            </w:r>
          </w:p>
        </w:tc>
        <w:tc>
          <w:tcPr>
            <w:tcW w:w="1984" w:type="dxa"/>
            <w:gridSpan w:val="2"/>
            <w:tcBorders>
              <w:top w:val="single" w:color="auto" w:sz="4" w:space="0"/>
              <w:left w:val="nil"/>
              <w:bottom w:val="single" w:color="auto" w:sz="4" w:space="0"/>
              <w:right w:val="single" w:color="auto" w:sz="4" w:space="0"/>
            </w:tcBorders>
            <w:vAlign w:val="center"/>
          </w:tcPr>
          <w:p w14:paraId="67A436F6">
            <w:pPr>
              <w:jc w:val="center"/>
              <w:rPr>
                <w:rFonts w:hint="eastAsia" w:ascii="宋体" w:hAnsi="宋体" w:eastAsia="宋体" w:cs="宋体"/>
                <w:b/>
                <w:bCs/>
                <w:color w:val="000000"/>
                <w:sz w:val="18"/>
                <w:szCs w:val="18"/>
              </w:rPr>
            </w:pPr>
          </w:p>
        </w:tc>
      </w:tr>
    </w:tbl>
    <w:p w14:paraId="478CF0B6">
      <w:pPr>
        <w:rPr>
          <w:rFonts w:hint="eastAsia" w:ascii="宋体" w:hAnsi="宋体" w:eastAsia="宋体" w:cs="宋体"/>
          <w:b/>
          <w:bCs/>
          <w:sz w:val="18"/>
          <w:szCs w:val="18"/>
        </w:rPr>
      </w:pPr>
    </w:p>
    <w:p w14:paraId="04FB6132">
      <w:pPr>
        <w:spacing w:after="0" w:line="240" w:lineRule="auto"/>
        <w:ind w:firstLine="640" w:firstLineChars="200"/>
        <w:outlineLvl w:val="1"/>
        <w:rPr>
          <w:rFonts w:hint="eastAsia" w:ascii="黑体" w:eastAsia="黑体"/>
          <w:sz w:val="32"/>
          <w:szCs w:val="32"/>
          <w:lang w:eastAsia="zh-CN"/>
        </w:rPr>
      </w:pPr>
      <w:r>
        <w:rPr>
          <w:rFonts w:ascii="黑体" w:eastAsia="黑体"/>
          <w:sz w:val="32"/>
          <w:szCs w:val="32"/>
          <w:lang w:eastAsia="zh-CN"/>
        </w:rPr>
        <w:t>十二、其他需说明的事项</w:t>
      </w:r>
    </w:p>
    <w:p w14:paraId="3ACC5DEE">
      <w:pPr>
        <w:spacing w:after="0" w:line="240" w:lineRule="auto"/>
        <w:ind w:firstLine="640" w:firstLineChars="200"/>
        <w:jc w:val="both"/>
        <w:rPr>
          <w:rFonts w:hint="eastAsia" w:ascii="仿宋_GB2312" w:eastAsia="仿宋_GB2312"/>
          <w:sz w:val="32"/>
          <w:szCs w:val="32"/>
          <w:lang w:eastAsia="zh-CN"/>
        </w:rPr>
      </w:pPr>
      <w:r>
        <w:rPr>
          <w:rFonts w:ascii="仿宋_GB2312" w:eastAsia="仿宋_GB2312"/>
          <w:sz w:val="32"/>
          <w:szCs w:val="32"/>
          <w:lang w:eastAsia="zh-CN"/>
        </w:rPr>
        <w:t>本单位无其他需说明事项。</w:t>
      </w:r>
    </w:p>
    <w:p w14:paraId="4D3C5817">
      <w:pPr>
        <w:spacing w:after="0" w:line="240" w:lineRule="auto"/>
        <w:ind w:firstLine="640" w:firstLineChars="200"/>
        <w:rPr>
          <w:rFonts w:hint="eastAsia" w:ascii="仿宋_GB2312" w:eastAsia="仿宋_GB2312"/>
          <w:sz w:val="32"/>
          <w:szCs w:val="32"/>
          <w:lang w:eastAsia="zh-CN"/>
        </w:rPr>
      </w:pPr>
    </w:p>
    <w:p w14:paraId="1F0C4206">
      <w:pPr>
        <w:rPr>
          <w:rFonts w:hint="eastAsia"/>
          <w:lang w:eastAsia="zh-CN"/>
        </w:rPr>
      </w:pPr>
      <w:r>
        <w:rPr>
          <w:sz w:val="0"/>
          <w:szCs w:val="0"/>
          <w:lang w:eastAsia="zh-CN"/>
        </w:rPr>
        <w:br w:type="page"/>
      </w:r>
    </w:p>
    <w:p w14:paraId="344DA796">
      <w:pPr>
        <w:spacing w:after="0" w:line="240" w:lineRule="auto"/>
        <w:jc w:val="center"/>
        <w:outlineLvl w:val="0"/>
        <w:rPr>
          <w:rFonts w:hint="eastAsia" w:ascii="黑体" w:eastAsia="黑体"/>
          <w:sz w:val="32"/>
          <w:szCs w:val="32"/>
          <w:lang w:eastAsia="zh-CN"/>
        </w:rPr>
      </w:pPr>
      <w:r>
        <w:rPr>
          <w:rFonts w:ascii="黑体" w:eastAsia="黑体"/>
          <w:sz w:val="32"/>
          <w:szCs w:val="32"/>
          <w:lang w:eastAsia="zh-CN"/>
        </w:rPr>
        <w:t>第三部分 专业名词解释</w:t>
      </w:r>
    </w:p>
    <w:p w14:paraId="2223034E">
      <w:pPr>
        <w:spacing w:after="0" w:line="240" w:lineRule="auto"/>
        <w:ind w:firstLine="643" w:firstLineChars="200"/>
        <w:rPr>
          <w:rFonts w:hint="eastAsia" w:ascii="仿宋_GB2312" w:eastAsia="仿宋_GB2312"/>
          <w:sz w:val="32"/>
          <w:szCs w:val="32"/>
          <w:lang w:eastAsia="zh-CN"/>
        </w:rPr>
      </w:pPr>
      <w:r>
        <w:rPr>
          <w:rFonts w:ascii="仿宋_GB2312" w:eastAsia="仿宋_GB2312"/>
          <w:b/>
          <w:sz w:val="32"/>
          <w:szCs w:val="32"/>
          <w:lang w:eastAsia="zh-CN"/>
        </w:rPr>
        <w:t>一、财政拨款收入：</w:t>
      </w:r>
      <w:r>
        <w:rPr>
          <w:rFonts w:ascii="仿宋_GB2312" w:eastAsia="仿宋_GB2312"/>
          <w:sz w:val="32"/>
          <w:szCs w:val="32"/>
          <w:lang w:eastAsia="zh-CN"/>
        </w:rPr>
        <w:t>指同级财政当年拨付的资金。</w:t>
      </w:r>
    </w:p>
    <w:p w14:paraId="34428AB3">
      <w:pPr>
        <w:spacing w:after="0" w:line="240" w:lineRule="auto"/>
        <w:ind w:firstLine="643" w:firstLineChars="200"/>
        <w:rPr>
          <w:rFonts w:hint="eastAsia" w:ascii="仿宋_GB2312" w:eastAsia="仿宋_GB2312"/>
          <w:sz w:val="32"/>
          <w:szCs w:val="32"/>
          <w:lang w:eastAsia="zh-CN"/>
        </w:rPr>
      </w:pPr>
      <w:r>
        <w:rPr>
          <w:rFonts w:ascii="仿宋_GB2312" w:eastAsia="仿宋_GB2312"/>
          <w:b/>
          <w:sz w:val="32"/>
          <w:szCs w:val="32"/>
          <w:lang w:eastAsia="zh-CN"/>
        </w:rPr>
        <w:t>二、上级补助收入：</w:t>
      </w:r>
      <w:r>
        <w:rPr>
          <w:rFonts w:ascii="仿宋_GB2312" w:eastAsia="仿宋_GB2312"/>
          <w:sz w:val="32"/>
          <w:szCs w:val="32"/>
          <w:lang w:eastAsia="zh-CN"/>
        </w:rPr>
        <w:t>指事业单位从主管部门和上级单位取得的非财政补助收入。</w:t>
      </w:r>
    </w:p>
    <w:p w14:paraId="77CFB3D0">
      <w:pPr>
        <w:spacing w:after="0" w:line="240" w:lineRule="auto"/>
        <w:ind w:firstLine="643" w:firstLineChars="200"/>
        <w:rPr>
          <w:rFonts w:hint="eastAsia" w:ascii="仿宋_GB2312" w:eastAsia="仿宋_GB2312"/>
          <w:sz w:val="32"/>
          <w:szCs w:val="32"/>
          <w:lang w:eastAsia="zh-CN"/>
        </w:rPr>
      </w:pPr>
      <w:r>
        <w:rPr>
          <w:rFonts w:ascii="仿宋_GB2312" w:eastAsia="仿宋_GB2312"/>
          <w:b/>
          <w:sz w:val="32"/>
          <w:szCs w:val="32"/>
          <w:lang w:eastAsia="zh-CN"/>
        </w:rPr>
        <w:t>三、事业收入：</w:t>
      </w:r>
      <w:r>
        <w:rPr>
          <w:rFonts w:ascii="仿宋_GB2312" w:eastAsia="仿宋_GB2312"/>
          <w:sz w:val="32"/>
          <w:szCs w:val="32"/>
          <w:lang w:eastAsia="zh-CN"/>
        </w:rPr>
        <w:t>指事业单位开展专业业务活动及其辅助活动所取得的收入。</w:t>
      </w:r>
    </w:p>
    <w:p w14:paraId="76323B01">
      <w:pPr>
        <w:spacing w:after="0" w:line="240" w:lineRule="auto"/>
        <w:ind w:firstLine="643" w:firstLineChars="200"/>
        <w:rPr>
          <w:rFonts w:hint="eastAsia" w:ascii="仿宋_GB2312" w:eastAsia="仿宋_GB2312"/>
          <w:sz w:val="32"/>
          <w:szCs w:val="32"/>
          <w:lang w:eastAsia="zh-CN"/>
        </w:rPr>
      </w:pPr>
      <w:r>
        <w:rPr>
          <w:rFonts w:ascii="仿宋_GB2312" w:eastAsia="仿宋_GB2312"/>
          <w:b/>
          <w:sz w:val="32"/>
          <w:szCs w:val="32"/>
          <w:lang w:eastAsia="zh-CN"/>
        </w:rPr>
        <w:t>四、经营收入：</w:t>
      </w:r>
      <w:r>
        <w:rPr>
          <w:rFonts w:ascii="仿宋_GB2312" w:eastAsia="仿宋_GB2312"/>
          <w:sz w:val="32"/>
          <w:szCs w:val="32"/>
          <w:lang w:eastAsia="zh-CN"/>
        </w:rPr>
        <w:t>指事业单位在专业业务活动及其辅助活动之外开展非独立核算经营活动取得的收入。</w:t>
      </w:r>
    </w:p>
    <w:p w14:paraId="000E8CBA">
      <w:pPr>
        <w:spacing w:after="0" w:line="240" w:lineRule="auto"/>
        <w:ind w:firstLine="643" w:firstLineChars="200"/>
        <w:rPr>
          <w:rFonts w:hint="eastAsia" w:ascii="仿宋_GB2312" w:eastAsia="仿宋_GB2312"/>
          <w:sz w:val="32"/>
          <w:szCs w:val="32"/>
          <w:lang w:eastAsia="zh-CN"/>
        </w:rPr>
      </w:pPr>
      <w:r>
        <w:rPr>
          <w:rFonts w:ascii="仿宋_GB2312" w:eastAsia="仿宋_GB2312"/>
          <w:b/>
          <w:sz w:val="32"/>
          <w:szCs w:val="32"/>
          <w:lang w:eastAsia="zh-CN"/>
        </w:rPr>
        <w:t>五、附属单位上缴收入：</w:t>
      </w:r>
      <w:r>
        <w:rPr>
          <w:rFonts w:ascii="仿宋_GB2312" w:eastAsia="仿宋_GB2312"/>
          <w:sz w:val="32"/>
          <w:szCs w:val="32"/>
          <w:lang w:eastAsia="zh-CN"/>
        </w:rPr>
        <w:t>指事业单位附属的独立核算单位按有关规定上缴的收入。</w:t>
      </w:r>
    </w:p>
    <w:p w14:paraId="49397CAF">
      <w:pPr>
        <w:spacing w:after="0" w:line="240" w:lineRule="auto"/>
        <w:ind w:firstLine="643" w:firstLineChars="200"/>
        <w:rPr>
          <w:rFonts w:hint="eastAsia" w:ascii="仿宋_GB2312" w:eastAsia="仿宋_GB2312"/>
          <w:sz w:val="32"/>
          <w:szCs w:val="32"/>
          <w:lang w:eastAsia="zh-CN"/>
        </w:rPr>
      </w:pPr>
      <w:r>
        <w:rPr>
          <w:rFonts w:ascii="仿宋_GB2312" w:eastAsia="仿宋_GB2312"/>
          <w:b/>
          <w:sz w:val="32"/>
          <w:szCs w:val="32"/>
          <w:lang w:eastAsia="zh-CN"/>
        </w:rPr>
        <w:t>六、其他收入：</w:t>
      </w:r>
      <w:r>
        <w:rPr>
          <w:rFonts w:ascii="仿宋_GB2312" w:eastAsia="仿宋_GB2312"/>
          <w:sz w:val="32"/>
          <w:szCs w:val="32"/>
          <w:lang w:eastAsia="zh-CN"/>
        </w:rPr>
        <w:t>指除上述“财政拨款收入”、“事业收入”、“经营收入”、“附属单位上缴收入”等之外取得的收入。</w:t>
      </w:r>
    </w:p>
    <w:p w14:paraId="3D71197F">
      <w:pPr>
        <w:spacing w:after="0" w:line="240" w:lineRule="auto"/>
        <w:ind w:firstLine="643" w:firstLineChars="200"/>
        <w:rPr>
          <w:rFonts w:hint="eastAsia" w:ascii="仿宋_GB2312" w:eastAsia="仿宋_GB2312"/>
          <w:sz w:val="32"/>
          <w:szCs w:val="32"/>
          <w:lang w:eastAsia="zh-CN"/>
        </w:rPr>
      </w:pPr>
      <w:r>
        <w:rPr>
          <w:rFonts w:ascii="仿宋_GB2312" w:eastAsia="仿宋_GB2312"/>
          <w:b/>
          <w:sz w:val="32"/>
          <w:szCs w:val="32"/>
          <w:lang w:eastAsia="zh-CN"/>
        </w:rPr>
        <w:t>七、年初结转和结余：</w:t>
      </w:r>
      <w:r>
        <w:rPr>
          <w:rFonts w:ascii="仿宋_GB2312" w:eastAsia="仿宋_GB2312"/>
          <w:sz w:val="32"/>
          <w:szCs w:val="32"/>
          <w:lang w:eastAsia="zh-CN"/>
        </w:rPr>
        <w:t>指以前年度支出预算因客观条件变化未执行完毕、结转到本年度按有关规定继续使用的资金，既包括财政拨款结转和结余，也包括事业收入、经营收入、其他收入的结转和结余。</w:t>
      </w:r>
    </w:p>
    <w:p w14:paraId="36EBEF09">
      <w:pPr>
        <w:spacing w:after="0" w:line="240" w:lineRule="auto"/>
        <w:ind w:firstLine="643" w:firstLineChars="200"/>
        <w:rPr>
          <w:rFonts w:hint="eastAsia" w:ascii="仿宋_GB2312" w:eastAsia="仿宋_GB2312"/>
          <w:sz w:val="32"/>
          <w:szCs w:val="32"/>
          <w:lang w:eastAsia="zh-CN"/>
        </w:rPr>
      </w:pPr>
      <w:r>
        <w:rPr>
          <w:rFonts w:ascii="仿宋_GB2312" w:eastAsia="仿宋_GB2312"/>
          <w:b/>
          <w:sz w:val="32"/>
          <w:szCs w:val="32"/>
          <w:lang w:eastAsia="zh-CN"/>
        </w:rPr>
        <w:t>八、年末结转和结余：</w:t>
      </w:r>
      <w:r>
        <w:rPr>
          <w:rFonts w:ascii="仿宋_GB2312" w:eastAsia="仿宋_GB2312"/>
          <w:sz w:val="32"/>
          <w:szCs w:val="32"/>
          <w:lang w:eastAsia="zh-CN"/>
        </w:rPr>
        <w:t>指本年度或以前年度预算安排、因客观条件发生变化无法按原计划实施，需要延迟到以后年度按有关规定继续使用的资金，既包括财政拨款结转和结余，也包括事业收入、经营收入、其他收入的结转和结余。</w:t>
      </w:r>
    </w:p>
    <w:p w14:paraId="143DF434">
      <w:pPr>
        <w:spacing w:after="0" w:line="240" w:lineRule="auto"/>
        <w:ind w:firstLine="643" w:firstLineChars="200"/>
        <w:rPr>
          <w:rFonts w:hint="eastAsia" w:ascii="仿宋_GB2312" w:eastAsia="仿宋_GB2312"/>
          <w:sz w:val="32"/>
          <w:szCs w:val="32"/>
          <w:lang w:eastAsia="zh-CN"/>
        </w:rPr>
      </w:pPr>
      <w:r>
        <w:rPr>
          <w:rFonts w:ascii="仿宋_GB2312" w:eastAsia="仿宋_GB2312"/>
          <w:b/>
          <w:sz w:val="32"/>
          <w:szCs w:val="32"/>
          <w:lang w:eastAsia="zh-CN"/>
        </w:rPr>
        <w:t>九、基本支出：</w:t>
      </w:r>
      <w:r>
        <w:rPr>
          <w:rFonts w:ascii="仿宋_GB2312" w:eastAsia="仿宋_GB2312"/>
          <w:sz w:val="32"/>
          <w:szCs w:val="32"/>
          <w:lang w:eastAsia="zh-CN"/>
        </w:rPr>
        <w:t>指为保障机构正常运转、完成日常工作任务而发生的人员支出和公用支出。</w:t>
      </w:r>
    </w:p>
    <w:p w14:paraId="27CE30C1">
      <w:pPr>
        <w:spacing w:after="0" w:line="240" w:lineRule="auto"/>
        <w:ind w:firstLine="643" w:firstLineChars="200"/>
        <w:rPr>
          <w:rFonts w:hint="eastAsia" w:ascii="仿宋_GB2312" w:eastAsia="仿宋_GB2312"/>
          <w:sz w:val="32"/>
          <w:szCs w:val="32"/>
          <w:lang w:eastAsia="zh-CN"/>
        </w:rPr>
      </w:pPr>
      <w:r>
        <w:rPr>
          <w:rFonts w:ascii="仿宋_GB2312" w:eastAsia="仿宋_GB2312"/>
          <w:b/>
          <w:sz w:val="32"/>
          <w:szCs w:val="32"/>
          <w:lang w:eastAsia="zh-CN"/>
        </w:rPr>
        <w:t>十、项目支出：</w:t>
      </w:r>
      <w:r>
        <w:rPr>
          <w:rFonts w:ascii="仿宋_GB2312" w:eastAsia="仿宋_GB2312"/>
          <w:sz w:val="32"/>
          <w:szCs w:val="32"/>
          <w:lang w:eastAsia="zh-CN"/>
        </w:rPr>
        <w:t>指在基本支出之外为完成特定行政任务和事业发展目标所发生的支出。</w:t>
      </w:r>
    </w:p>
    <w:p w14:paraId="2C3128FE">
      <w:pPr>
        <w:spacing w:after="0" w:line="240" w:lineRule="auto"/>
        <w:ind w:firstLine="643" w:firstLineChars="200"/>
        <w:rPr>
          <w:rFonts w:hint="eastAsia" w:ascii="仿宋_GB2312" w:eastAsia="仿宋_GB2312"/>
          <w:sz w:val="32"/>
          <w:szCs w:val="32"/>
          <w:lang w:eastAsia="zh-CN"/>
        </w:rPr>
      </w:pPr>
      <w:r>
        <w:rPr>
          <w:rFonts w:ascii="仿宋_GB2312" w:eastAsia="仿宋_GB2312"/>
          <w:b/>
          <w:sz w:val="32"/>
          <w:szCs w:val="32"/>
          <w:lang w:eastAsia="zh-CN"/>
        </w:rPr>
        <w:t>十一、经营支出：</w:t>
      </w:r>
      <w:r>
        <w:rPr>
          <w:rFonts w:ascii="仿宋_GB2312" w:eastAsia="仿宋_GB2312"/>
          <w:sz w:val="32"/>
          <w:szCs w:val="32"/>
          <w:lang w:eastAsia="zh-CN"/>
        </w:rPr>
        <w:t>指事业单位在专业业务活动及其辅助活动之外开展非独立核算经营活动发生的支出。</w:t>
      </w:r>
    </w:p>
    <w:p w14:paraId="74FE59AF">
      <w:pPr>
        <w:spacing w:after="0" w:line="240" w:lineRule="auto"/>
        <w:ind w:firstLine="643" w:firstLineChars="200"/>
        <w:rPr>
          <w:rFonts w:hint="eastAsia" w:ascii="仿宋_GB2312" w:eastAsia="仿宋_GB2312"/>
          <w:sz w:val="32"/>
          <w:szCs w:val="32"/>
          <w:lang w:eastAsia="zh-CN"/>
        </w:rPr>
      </w:pPr>
      <w:r>
        <w:rPr>
          <w:rFonts w:ascii="仿宋_GB2312" w:eastAsia="仿宋_GB2312"/>
          <w:b/>
          <w:sz w:val="32"/>
          <w:szCs w:val="32"/>
          <w:lang w:eastAsia="zh-CN"/>
        </w:rPr>
        <w:t>十二、对附属单位补助支出：</w:t>
      </w:r>
      <w:r>
        <w:rPr>
          <w:rFonts w:ascii="仿宋_GB2312" w:eastAsia="仿宋_GB2312"/>
          <w:sz w:val="32"/>
          <w:szCs w:val="32"/>
          <w:lang w:eastAsia="zh-CN"/>
        </w:rPr>
        <w:t>指事业单位发生的用非财政预算资金对附属单位的补助支出。</w:t>
      </w:r>
    </w:p>
    <w:p w14:paraId="5CC37E5E">
      <w:pPr>
        <w:spacing w:after="0" w:line="240" w:lineRule="auto"/>
        <w:ind w:firstLine="643" w:firstLineChars="200"/>
        <w:rPr>
          <w:rFonts w:hint="eastAsia" w:ascii="仿宋_GB2312" w:eastAsia="仿宋_GB2312"/>
          <w:sz w:val="32"/>
          <w:szCs w:val="32"/>
          <w:lang w:eastAsia="zh-CN"/>
        </w:rPr>
      </w:pPr>
      <w:r>
        <w:rPr>
          <w:rFonts w:ascii="仿宋_GB2312" w:eastAsia="仿宋_GB2312"/>
          <w:b/>
          <w:sz w:val="32"/>
          <w:szCs w:val="32"/>
          <w:lang w:eastAsia="zh-CN"/>
        </w:rPr>
        <w:t>十三、“三公”经费：</w:t>
      </w:r>
      <w:r>
        <w:rPr>
          <w:rFonts w:ascii="仿宋_GB2312" w:eastAsia="仿宋_GB2312"/>
          <w:sz w:val="32"/>
          <w:szCs w:val="32"/>
          <w:lang w:eastAsia="zh-CN"/>
        </w:rPr>
        <w:t>指用财政拨款安排的因公出国（境）费、公务用车购置及运行费和公务接待费。其中，因公出国（境）费反映单位公务出国（境）的国际旅费、国外城市间交通费、住宿费、伙食费、培训费、公杂费等支出；公务用车购置反映公务用车购置支出（含车辆购置税、牌照费）；公务用车运行维护费反映单位按规定保留的公务用车燃料费、维修费、过路过桥费、保险费、安全奖励费用等支出；公务接待费反映单位按规定开支的各类公务接待（含外宾接待）费用。</w:t>
      </w:r>
    </w:p>
    <w:p w14:paraId="52D3B649">
      <w:pPr>
        <w:spacing w:after="0" w:line="240" w:lineRule="auto"/>
        <w:ind w:firstLine="643" w:firstLineChars="200"/>
        <w:rPr>
          <w:rFonts w:hint="eastAsia" w:ascii="仿宋_GB2312" w:eastAsia="仿宋_GB2312"/>
          <w:sz w:val="32"/>
          <w:szCs w:val="32"/>
          <w:lang w:eastAsia="zh-CN"/>
        </w:rPr>
      </w:pPr>
      <w:r>
        <w:rPr>
          <w:rFonts w:ascii="仿宋_GB2312" w:eastAsia="仿宋_GB2312"/>
          <w:b/>
          <w:sz w:val="32"/>
          <w:szCs w:val="32"/>
          <w:lang w:eastAsia="zh-CN"/>
        </w:rPr>
        <w:t>十四、机关运行经费：</w:t>
      </w:r>
      <w:r>
        <w:rPr>
          <w:rFonts w:ascii="仿宋_GB2312" w:eastAsia="仿宋_GB2312"/>
          <w:sz w:val="32"/>
          <w:szCs w:val="32"/>
          <w:lang w:eastAsia="zh-CN"/>
        </w:rPr>
        <w:t>行政单位和参照公务员法管理的事业单位财政拨款基本支出中的公用经费支出。</w:t>
      </w:r>
    </w:p>
    <w:p w14:paraId="1F04FC11">
      <w:pPr>
        <w:rPr>
          <w:rFonts w:hint="eastAsia"/>
          <w:lang w:eastAsia="zh-CN"/>
        </w:rPr>
      </w:pPr>
      <w:r>
        <w:rPr>
          <w:sz w:val="0"/>
          <w:szCs w:val="0"/>
          <w:lang w:eastAsia="zh-CN"/>
        </w:rPr>
        <w:br w:type="page"/>
      </w:r>
    </w:p>
    <w:p w14:paraId="1D46E115">
      <w:pPr>
        <w:spacing w:after="0" w:line="240" w:lineRule="auto"/>
        <w:jc w:val="center"/>
        <w:outlineLvl w:val="0"/>
        <w:rPr>
          <w:rFonts w:hint="eastAsia" w:ascii="黑体" w:eastAsia="黑体"/>
          <w:sz w:val="32"/>
          <w:szCs w:val="32"/>
          <w:lang w:eastAsia="zh-CN"/>
        </w:rPr>
      </w:pPr>
      <w:r>
        <w:rPr>
          <w:rFonts w:ascii="黑体" w:eastAsia="黑体"/>
          <w:sz w:val="32"/>
          <w:szCs w:val="32"/>
          <w:lang w:eastAsia="zh-CN"/>
        </w:rPr>
        <w:t>第四部分 部门决算报表（见附表）</w:t>
      </w:r>
    </w:p>
    <w:p w14:paraId="4335B25A">
      <w:pPr>
        <w:spacing w:after="0" w:line="240" w:lineRule="auto"/>
        <w:ind w:firstLine="640" w:firstLineChars="200"/>
        <w:outlineLvl w:val="1"/>
        <w:rPr>
          <w:rFonts w:hint="eastAsia" w:ascii="仿宋_GB2312" w:eastAsia="仿宋_GB2312"/>
          <w:sz w:val="32"/>
          <w:szCs w:val="32"/>
          <w:lang w:eastAsia="zh-CN"/>
        </w:rPr>
      </w:pPr>
      <w:r>
        <w:rPr>
          <w:rFonts w:ascii="仿宋_GB2312" w:eastAsia="仿宋_GB2312"/>
          <w:sz w:val="32"/>
          <w:szCs w:val="32"/>
          <w:lang w:eastAsia="zh-CN"/>
        </w:rPr>
        <w:t>一、《收入支出决算总表》</w:t>
      </w:r>
    </w:p>
    <w:p w14:paraId="7E080AB9">
      <w:pPr>
        <w:spacing w:after="0" w:line="240" w:lineRule="auto"/>
        <w:ind w:firstLine="640" w:firstLineChars="200"/>
        <w:outlineLvl w:val="1"/>
        <w:rPr>
          <w:rFonts w:hint="eastAsia" w:ascii="仿宋_GB2312" w:eastAsia="仿宋_GB2312"/>
          <w:sz w:val="32"/>
          <w:szCs w:val="32"/>
          <w:lang w:eastAsia="zh-CN"/>
        </w:rPr>
      </w:pPr>
      <w:r>
        <w:rPr>
          <w:rFonts w:ascii="仿宋_GB2312" w:eastAsia="仿宋_GB2312"/>
          <w:sz w:val="32"/>
          <w:szCs w:val="32"/>
          <w:lang w:eastAsia="zh-CN"/>
        </w:rPr>
        <w:t>二、《收入决算表》</w:t>
      </w:r>
    </w:p>
    <w:p w14:paraId="159047DB">
      <w:pPr>
        <w:spacing w:after="0" w:line="240" w:lineRule="auto"/>
        <w:ind w:firstLine="640" w:firstLineChars="200"/>
        <w:outlineLvl w:val="1"/>
        <w:rPr>
          <w:rFonts w:hint="eastAsia" w:ascii="仿宋_GB2312" w:eastAsia="仿宋_GB2312"/>
          <w:sz w:val="32"/>
          <w:szCs w:val="32"/>
          <w:lang w:eastAsia="zh-CN"/>
        </w:rPr>
      </w:pPr>
      <w:r>
        <w:rPr>
          <w:rFonts w:ascii="仿宋_GB2312" w:eastAsia="仿宋_GB2312"/>
          <w:sz w:val="32"/>
          <w:szCs w:val="32"/>
          <w:lang w:eastAsia="zh-CN"/>
        </w:rPr>
        <w:t>三、《支出决算表》</w:t>
      </w:r>
    </w:p>
    <w:p w14:paraId="5B215EB8">
      <w:pPr>
        <w:spacing w:after="0" w:line="240" w:lineRule="auto"/>
        <w:ind w:firstLine="640" w:firstLineChars="200"/>
        <w:outlineLvl w:val="1"/>
        <w:rPr>
          <w:rFonts w:hint="eastAsia" w:ascii="仿宋_GB2312" w:eastAsia="仿宋_GB2312"/>
          <w:sz w:val="32"/>
          <w:szCs w:val="32"/>
          <w:lang w:eastAsia="zh-CN"/>
        </w:rPr>
      </w:pPr>
      <w:r>
        <w:rPr>
          <w:rFonts w:ascii="仿宋_GB2312" w:eastAsia="仿宋_GB2312"/>
          <w:sz w:val="32"/>
          <w:szCs w:val="32"/>
          <w:lang w:eastAsia="zh-CN"/>
        </w:rPr>
        <w:t>四、《财政拨款收入支出决算总表》</w:t>
      </w:r>
    </w:p>
    <w:p w14:paraId="2A3BA198">
      <w:pPr>
        <w:spacing w:after="0" w:line="240" w:lineRule="auto"/>
        <w:ind w:firstLine="640" w:firstLineChars="200"/>
        <w:outlineLvl w:val="1"/>
        <w:rPr>
          <w:rFonts w:hint="eastAsia" w:ascii="仿宋_GB2312" w:eastAsia="仿宋_GB2312"/>
          <w:sz w:val="32"/>
          <w:szCs w:val="32"/>
          <w:lang w:eastAsia="zh-CN"/>
        </w:rPr>
      </w:pPr>
      <w:r>
        <w:rPr>
          <w:rFonts w:ascii="仿宋_GB2312" w:eastAsia="仿宋_GB2312"/>
          <w:sz w:val="32"/>
          <w:szCs w:val="32"/>
          <w:lang w:eastAsia="zh-CN"/>
        </w:rPr>
        <w:t>五、《一般公共预算财政拨款支出决算表》</w:t>
      </w:r>
    </w:p>
    <w:p w14:paraId="4CB31B82">
      <w:pPr>
        <w:spacing w:after="0" w:line="240" w:lineRule="auto"/>
        <w:ind w:firstLine="640" w:firstLineChars="200"/>
        <w:outlineLvl w:val="1"/>
        <w:rPr>
          <w:rFonts w:hint="eastAsia" w:ascii="仿宋_GB2312" w:eastAsia="仿宋_GB2312"/>
          <w:sz w:val="32"/>
          <w:szCs w:val="32"/>
          <w:lang w:eastAsia="zh-CN"/>
        </w:rPr>
      </w:pPr>
      <w:r>
        <w:rPr>
          <w:rFonts w:ascii="仿宋_GB2312" w:eastAsia="仿宋_GB2312"/>
          <w:sz w:val="32"/>
          <w:szCs w:val="32"/>
          <w:lang w:eastAsia="zh-CN"/>
        </w:rPr>
        <w:t>六、《一般公共预算财政拨款基本支出决算表》</w:t>
      </w:r>
    </w:p>
    <w:p w14:paraId="0E333B86">
      <w:pPr>
        <w:spacing w:after="0" w:line="240" w:lineRule="auto"/>
        <w:ind w:firstLine="640" w:firstLineChars="200"/>
        <w:outlineLvl w:val="1"/>
        <w:rPr>
          <w:rFonts w:hint="eastAsia" w:ascii="仿宋_GB2312" w:eastAsia="仿宋_GB2312"/>
          <w:sz w:val="32"/>
          <w:szCs w:val="32"/>
          <w:lang w:eastAsia="zh-CN"/>
        </w:rPr>
      </w:pPr>
      <w:r>
        <w:rPr>
          <w:rFonts w:ascii="仿宋_GB2312" w:eastAsia="仿宋_GB2312"/>
          <w:sz w:val="32"/>
          <w:szCs w:val="32"/>
          <w:lang w:eastAsia="zh-CN"/>
        </w:rPr>
        <w:t>七、《政府性基金预算财政拨款收入支出决算表》</w:t>
      </w:r>
    </w:p>
    <w:p w14:paraId="5E7F295E">
      <w:pPr>
        <w:spacing w:after="0" w:line="240" w:lineRule="auto"/>
        <w:ind w:firstLine="640" w:firstLineChars="200"/>
        <w:outlineLvl w:val="1"/>
        <w:rPr>
          <w:rFonts w:hint="eastAsia" w:ascii="仿宋_GB2312" w:eastAsia="仿宋_GB2312"/>
          <w:sz w:val="32"/>
          <w:szCs w:val="32"/>
          <w:lang w:eastAsia="zh-CN"/>
        </w:rPr>
      </w:pPr>
      <w:r>
        <w:rPr>
          <w:rFonts w:ascii="仿宋_GB2312" w:eastAsia="仿宋_GB2312"/>
          <w:sz w:val="32"/>
          <w:szCs w:val="32"/>
          <w:lang w:eastAsia="zh-CN"/>
        </w:rPr>
        <w:t>八、《国有资本经营预算财政拨款收入支出决算表》</w:t>
      </w:r>
    </w:p>
    <w:p w14:paraId="4F62E300">
      <w:pPr>
        <w:spacing w:after="0" w:line="240" w:lineRule="auto"/>
        <w:ind w:firstLine="640" w:firstLineChars="200"/>
        <w:outlineLvl w:val="1"/>
        <w:rPr>
          <w:rFonts w:hint="eastAsia" w:ascii="仿宋_GB2312" w:eastAsia="仿宋_GB2312"/>
          <w:sz w:val="32"/>
          <w:szCs w:val="32"/>
          <w:lang w:eastAsia="zh-CN"/>
        </w:rPr>
      </w:pPr>
      <w:r>
        <w:rPr>
          <w:rFonts w:ascii="仿宋_GB2312" w:eastAsia="仿宋_GB2312"/>
          <w:sz w:val="32"/>
          <w:szCs w:val="32"/>
          <w:lang w:eastAsia="zh-CN"/>
        </w:rPr>
        <w:t>九、《财政拨款“三公”经费支出决算表》</w:t>
      </w:r>
    </w:p>
    <w:sectPr>
      <w:pgSz w:w="12240" w:h="15840"/>
      <w:pgMar w:top="1440" w:right="1800" w:bottom="1440" w:left="1800"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9"/>
  <w:bordersDoNotSurroundHeader w:val="1"/>
  <w:bordersDoNotSurroundFooter w:val="1"/>
  <w:documentProtection w:enforcement="0"/>
  <w:defaultTabStop w:val="420"/>
  <w:characterSpacingControl w:val="doNotCompress"/>
  <w:footnotePr>
    <w:footnote w:id="0"/>
    <w:footnote w:id="1"/>
  </w:footnotePr>
  <w:endnotePr>
    <w:endnote w:id="0"/>
    <w:endnote w:id="1"/>
  </w:endnotePr>
  <w:compat>
    <w:useFELayout/>
    <w:compatSetting w:name="compatibilityMode" w:uri="http://schemas.microsoft.com/office/word" w:val="12"/>
    <w:compatSetting w:name="overrideTableStyleFontSizeAndJustification" w:uri="http://schemas.microsoft.com/office/word" w:val="1"/>
  </w:compat>
  <w:rsids>
    <w:rsidRoot w:val="009C5637"/>
    <w:rsid w:val="0019279F"/>
    <w:rsid w:val="002F514E"/>
    <w:rsid w:val="00592F34"/>
    <w:rsid w:val="008B273B"/>
    <w:rsid w:val="009B78BC"/>
    <w:rsid w:val="009C5637"/>
    <w:rsid w:val="009E699B"/>
    <w:rsid w:val="00B91AA7"/>
    <w:rsid w:val="00C04393"/>
    <w:rsid w:val="00E6376E"/>
    <w:rsid w:val="39374B7A"/>
    <w:rsid w:val="613521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uiPriority="99" w:name="heading 5"/>
    <w:lsdException w:uiPriority="99" w:name="heading 6"/>
    <w:lsdException w:uiPriority="99" w:name="heading 7"/>
    <w:lsdException w:uiPriority="9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99"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qFormat="1" w:uiPriority="99" w:semiHidden="0"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uiPriority="99"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en-US" w:eastAsia="en-US" w:bidi="ar-SA"/>
    </w:rPr>
  </w:style>
  <w:style w:type="paragraph" w:styleId="2">
    <w:name w:val="heading 1"/>
    <w:basedOn w:val="1"/>
    <w:next w:val="1"/>
    <w:link w:val="18"/>
    <w:qFormat/>
    <w:uiPriority w:val="9"/>
    <w:pPr>
      <w:keepNext/>
      <w:keepLines/>
      <w:spacing w:before="480"/>
      <w:outlineLvl w:val="0"/>
    </w:pPr>
    <w:rPr>
      <w:rFonts w:asciiTheme="majorHAnsi" w:hAnsiTheme="majorHAnsi" w:eastAsiaTheme="majorEastAsia" w:cstheme="majorBidi"/>
      <w:b/>
      <w:bCs/>
      <w:color w:val="2F5496" w:themeColor="accent1" w:themeShade="BF"/>
      <w:sz w:val="28"/>
      <w:szCs w:val="28"/>
    </w:rPr>
  </w:style>
  <w:style w:type="paragraph" w:styleId="3">
    <w:name w:val="heading 2"/>
    <w:basedOn w:val="1"/>
    <w:next w:val="1"/>
    <w:link w:val="19"/>
    <w:unhideWhenUsed/>
    <w:qFormat/>
    <w:uiPriority w:val="9"/>
    <w:pPr>
      <w:keepNext/>
      <w:keepLines/>
      <w:spacing w:before="200"/>
      <w:outlineLvl w:val="1"/>
    </w:pPr>
    <w:rPr>
      <w:rFonts w:asciiTheme="majorHAnsi" w:hAnsiTheme="majorHAnsi" w:eastAsiaTheme="majorEastAsia" w:cstheme="majorBidi"/>
      <w:b/>
      <w:bCs/>
      <w:color w:val="4472C4" w:themeColor="accent1"/>
      <w:sz w:val="26"/>
      <w:szCs w:val="26"/>
    </w:rPr>
  </w:style>
  <w:style w:type="paragraph" w:styleId="4">
    <w:name w:val="heading 3"/>
    <w:basedOn w:val="1"/>
    <w:next w:val="1"/>
    <w:link w:val="20"/>
    <w:unhideWhenUsed/>
    <w:qFormat/>
    <w:uiPriority w:val="9"/>
    <w:pPr>
      <w:keepNext/>
      <w:keepLines/>
      <w:spacing w:before="200"/>
      <w:outlineLvl w:val="2"/>
    </w:pPr>
    <w:rPr>
      <w:rFonts w:asciiTheme="majorHAnsi" w:hAnsiTheme="majorHAnsi" w:eastAsiaTheme="majorEastAsia" w:cstheme="majorBidi"/>
      <w:b/>
      <w:bCs/>
      <w:color w:val="4472C4" w:themeColor="accent1"/>
    </w:rPr>
  </w:style>
  <w:style w:type="paragraph" w:styleId="5">
    <w:name w:val="heading 4"/>
    <w:basedOn w:val="1"/>
    <w:next w:val="1"/>
    <w:link w:val="21"/>
    <w:unhideWhenUsed/>
    <w:qFormat/>
    <w:uiPriority w:val="9"/>
    <w:pPr>
      <w:keepNext/>
      <w:keepLines/>
      <w:spacing w:before="200"/>
      <w:outlineLvl w:val="3"/>
    </w:pPr>
    <w:rPr>
      <w:rFonts w:asciiTheme="majorHAnsi" w:hAnsiTheme="majorHAnsi" w:eastAsiaTheme="majorEastAsia" w:cstheme="majorBidi"/>
      <w:b/>
      <w:bCs/>
      <w:i/>
      <w:iCs/>
      <w:color w:val="4472C4" w:themeColor="accent1"/>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6">
    <w:name w:val="Normal Indent"/>
    <w:basedOn w:val="1"/>
    <w:unhideWhenUsed/>
    <w:qFormat/>
    <w:uiPriority w:val="99"/>
    <w:pPr>
      <w:ind w:left="720"/>
    </w:pPr>
  </w:style>
  <w:style w:type="paragraph" w:styleId="7">
    <w:name w:val="caption"/>
    <w:basedOn w:val="1"/>
    <w:next w:val="1"/>
    <w:semiHidden/>
    <w:unhideWhenUsed/>
    <w:qFormat/>
    <w:uiPriority w:val="35"/>
    <w:pPr>
      <w:spacing w:line="240" w:lineRule="auto"/>
    </w:pPr>
    <w:rPr>
      <w:b/>
      <w:bCs/>
      <w:color w:val="4472C4" w:themeColor="accent1"/>
      <w:sz w:val="18"/>
      <w:szCs w:val="18"/>
    </w:rPr>
  </w:style>
  <w:style w:type="paragraph" w:styleId="8">
    <w:name w:val="footer"/>
    <w:basedOn w:val="1"/>
    <w:link w:val="24"/>
    <w:unhideWhenUsed/>
    <w:uiPriority w:val="99"/>
    <w:pPr>
      <w:tabs>
        <w:tab w:val="center" w:pos="4153"/>
        <w:tab w:val="right" w:pos="8306"/>
      </w:tabs>
      <w:snapToGrid w:val="0"/>
      <w:spacing w:line="240" w:lineRule="auto"/>
    </w:pPr>
    <w:rPr>
      <w:sz w:val="18"/>
      <w:szCs w:val="18"/>
    </w:rPr>
  </w:style>
  <w:style w:type="paragraph" w:styleId="9">
    <w:name w:val="header"/>
    <w:basedOn w:val="1"/>
    <w:link w:val="17"/>
    <w:unhideWhenUsed/>
    <w:qFormat/>
    <w:uiPriority w:val="99"/>
    <w:pPr>
      <w:tabs>
        <w:tab w:val="center" w:pos="4680"/>
        <w:tab w:val="right" w:pos="9360"/>
      </w:tabs>
    </w:pPr>
  </w:style>
  <w:style w:type="paragraph" w:styleId="10">
    <w:name w:val="Subtitle"/>
    <w:basedOn w:val="1"/>
    <w:next w:val="1"/>
    <w:link w:val="22"/>
    <w:qFormat/>
    <w:uiPriority w:val="11"/>
    <w:pPr>
      <w:ind w:left="86"/>
    </w:pPr>
    <w:rPr>
      <w:rFonts w:asciiTheme="majorHAnsi" w:hAnsiTheme="majorHAnsi" w:eastAsiaTheme="majorEastAsia" w:cstheme="majorBidi"/>
      <w:i/>
      <w:iCs/>
      <w:color w:val="4472C4" w:themeColor="accent1"/>
      <w:spacing w:val="15"/>
      <w:sz w:val="24"/>
      <w:szCs w:val="24"/>
    </w:rPr>
  </w:style>
  <w:style w:type="paragraph" w:styleId="11">
    <w:name w:val="Title"/>
    <w:basedOn w:val="1"/>
    <w:next w:val="1"/>
    <w:link w:val="23"/>
    <w:qFormat/>
    <w:uiPriority w:val="10"/>
    <w:pPr>
      <w:pBdr>
        <w:bottom w:val="single" w:color="4472C4" w:themeColor="accent1" w:sz="8" w:space="4"/>
      </w:pBdr>
      <w:spacing w:after="300"/>
      <w:contextualSpacing/>
    </w:pPr>
    <w:rPr>
      <w:rFonts w:asciiTheme="majorHAnsi" w:hAnsiTheme="majorHAnsi" w:eastAsiaTheme="majorEastAsia" w:cstheme="majorBidi"/>
      <w:color w:val="323E4F" w:themeColor="text2" w:themeShade="BF"/>
      <w:spacing w:val="5"/>
      <w:kern w:val="28"/>
      <w:sz w:val="52"/>
      <w:szCs w:val="52"/>
    </w:rPr>
  </w:style>
  <w:style w:type="table" w:styleId="13">
    <w:name w:val="Table Grid"/>
    <w:basedOn w:val="12"/>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5">
    <w:name w:val="Emphasis"/>
    <w:basedOn w:val="14"/>
    <w:qFormat/>
    <w:uiPriority w:val="20"/>
    <w:rPr>
      <w:i/>
      <w:iCs/>
    </w:rPr>
  </w:style>
  <w:style w:type="character" w:styleId="16">
    <w:name w:val="Hyperlink"/>
    <w:basedOn w:val="14"/>
    <w:unhideWhenUsed/>
    <w:qFormat/>
    <w:uiPriority w:val="99"/>
    <w:rPr>
      <w:color w:val="0563C1" w:themeColor="hyperlink"/>
      <w:u w:val="single"/>
    </w:rPr>
  </w:style>
  <w:style w:type="character" w:customStyle="1" w:styleId="17">
    <w:name w:val="页眉 字符"/>
    <w:basedOn w:val="14"/>
    <w:link w:val="9"/>
    <w:uiPriority w:val="99"/>
  </w:style>
  <w:style w:type="character" w:customStyle="1" w:styleId="18">
    <w:name w:val="标题 1 字符"/>
    <w:basedOn w:val="14"/>
    <w:link w:val="2"/>
    <w:qFormat/>
    <w:uiPriority w:val="9"/>
    <w:rPr>
      <w:rFonts w:asciiTheme="majorHAnsi" w:hAnsiTheme="majorHAnsi" w:eastAsiaTheme="majorEastAsia" w:cstheme="majorBidi"/>
      <w:b/>
      <w:bCs/>
      <w:color w:val="2F5496" w:themeColor="accent1" w:themeShade="BF"/>
      <w:sz w:val="28"/>
      <w:szCs w:val="28"/>
    </w:rPr>
  </w:style>
  <w:style w:type="character" w:customStyle="1" w:styleId="19">
    <w:name w:val="标题 2 字符"/>
    <w:basedOn w:val="14"/>
    <w:link w:val="3"/>
    <w:uiPriority w:val="9"/>
    <w:rPr>
      <w:rFonts w:asciiTheme="majorHAnsi" w:hAnsiTheme="majorHAnsi" w:eastAsiaTheme="majorEastAsia" w:cstheme="majorBidi"/>
      <w:b/>
      <w:bCs/>
      <w:color w:val="4472C4" w:themeColor="accent1"/>
      <w:sz w:val="26"/>
      <w:szCs w:val="26"/>
    </w:rPr>
  </w:style>
  <w:style w:type="character" w:customStyle="1" w:styleId="20">
    <w:name w:val="标题 3 字符"/>
    <w:basedOn w:val="14"/>
    <w:link w:val="4"/>
    <w:qFormat/>
    <w:uiPriority w:val="9"/>
    <w:rPr>
      <w:rFonts w:asciiTheme="majorHAnsi" w:hAnsiTheme="majorHAnsi" w:eastAsiaTheme="majorEastAsia" w:cstheme="majorBidi"/>
      <w:b/>
      <w:bCs/>
      <w:color w:val="4472C4" w:themeColor="accent1"/>
    </w:rPr>
  </w:style>
  <w:style w:type="character" w:customStyle="1" w:styleId="21">
    <w:name w:val="标题 4 字符"/>
    <w:basedOn w:val="14"/>
    <w:link w:val="5"/>
    <w:uiPriority w:val="9"/>
    <w:rPr>
      <w:rFonts w:asciiTheme="majorHAnsi" w:hAnsiTheme="majorHAnsi" w:eastAsiaTheme="majorEastAsia" w:cstheme="majorBidi"/>
      <w:b/>
      <w:bCs/>
      <w:i/>
      <w:iCs/>
      <w:color w:val="4472C4" w:themeColor="accent1"/>
    </w:rPr>
  </w:style>
  <w:style w:type="character" w:customStyle="1" w:styleId="22">
    <w:name w:val="副标题 字符"/>
    <w:basedOn w:val="14"/>
    <w:link w:val="10"/>
    <w:uiPriority w:val="11"/>
    <w:rPr>
      <w:rFonts w:asciiTheme="majorHAnsi" w:hAnsiTheme="majorHAnsi" w:eastAsiaTheme="majorEastAsia" w:cstheme="majorBidi"/>
      <w:i/>
      <w:iCs/>
      <w:color w:val="4472C4" w:themeColor="accent1"/>
      <w:spacing w:val="15"/>
      <w:sz w:val="24"/>
      <w:szCs w:val="24"/>
    </w:rPr>
  </w:style>
  <w:style w:type="character" w:customStyle="1" w:styleId="23">
    <w:name w:val="标题 字符"/>
    <w:basedOn w:val="14"/>
    <w:link w:val="11"/>
    <w:uiPriority w:val="10"/>
    <w:rPr>
      <w:rFonts w:asciiTheme="majorHAnsi" w:hAnsiTheme="majorHAnsi" w:eastAsiaTheme="majorEastAsia" w:cstheme="majorBidi"/>
      <w:color w:val="323E4F" w:themeColor="text2" w:themeShade="BF"/>
      <w:spacing w:val="5"/>
      <w:kern w:val="28"/>
      <w:sz w:val="52"/>
      <w:szCs w:val="52"/>
    </w:rPr>
  </w:style>
  <w:style w:type="character" w:customStyle="1" w:styleId="24">
    <w:name w:val="页脚 字符"/>
    <w:basedOn w:val="14"/>
    <w:link w:val="8"/>
    <w:uiPriority w:val="99"/>
    <w:rPr>
      <w:sz w:val="18"/>
      <w:szCs w:val="18"/>
      <w:lang w:eastAsia="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23</Pages>
  <Words>10175</Words>
  <Characters>11416</Characters>
  <Lines>644</Lines>
  <Paragraphs>554</Paragraphs>
  <TotalTime>14</TotalTime>
  <ScaleCrop>false</ScaleCrop>
  <LinksUpToDate>false</LinksUpToDate>
  <CharactersWithSpaces>11429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2025-08-26T14:14:00Z</dcterms:created>
  <dc:creator>华为</dc:creator>
  <cp:lastModifiedBy>局外人.</cp:lastModifiedBy>
  <dcterms:modified xsi:type="dcterms:W3CDTF">2025-11-20T04:50:30Z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eyJoZGlkIjoiYzI4NzYwZWZkM2I0OTdlMTA3M2NkMmFjZWIyMDVmNjUiLCJ1c2VySWQiOiIxMjM2MzIxMjUwIn0=</vt:lpwstr>
  </property>
  <property fmtid="{D5CDD505-2E9C-101B-9397-08002B2CF9AE}" pid="3" name="KSOProductBuildVer">
    <vt:lpwstr>2052-12.1.0.23125</vt:lpwstr>
  </property>
  <property fmtid="{D5CDD505-2E9C-101B-9397-08002B2CF9AE}" pid="4" name="ICV">
    <vt:lpwstr>CCD69E9207E14AC88D21F4461A0C6138_12</vt:lpwstr>
  </property>
</Properties>
</file>