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FA83A">
      <w:pPr>
        <w:spacing w:after="0" w:line="240" w:lineRule="auto"/>
        <w:rPr>
          <w:rFonts w:hint="eastAsia" w:ascii="宋体" w:eastAsia="宋体"/>
          <w:sz w:val="32"/>
          <w:szCs w:val="32"/>
        </w:rPr>
      </w:pPr>
    </w:p>
    <w:p w14:paraId="12B57DEF">
      <w:pPr>
        <w:spacing w:after="0" w:line="240" w:lineRule="auto"/>
        <w:rPr>
          <w:rFonts w:hint="eastAsia" w:ascii="宋体" w:eastAsia="宋体"/>
          <w:sz w:val="44"/>
          <w:szCs w:val="44"/>
        </w:rPr>
      </w:pPr>
    </w:p>
    <w:p w14:paraId="57ACEA87">
      <w:pPr>
        <w:spacing w:after="0" w:line="240" w:lineRule="auto"/>
        <w:rPr>
          <w:rFonts w:hint="eastAsia" w:ascii="宋体" w:eastAsia="宋体"/>
          <w:sz w:val="44"/>
          <w:szCs w:val="44"/>
        </w:rPr>
      </w:pPr>
    </w:p>
    <w:p w14:paraId="1FAE196F">
      <w:pPr>
        <w:spacing w:after="0" w:line="240" w:lineRule="auto"/>
        <w:rPr>
          <w:rFonts w:hint="eastAsia" w:ascii="宋体" w:eastAsia="宋体"/>
          <w:sz w:val="44"/>
          <w:szCs w:val="44"/>
        </w:rPr>
      </w:pPr>
    </w:p>
    <w:p w14:paraId="5B429800">
      <w:pPr>
        <w:spacing w:after="0" w:line="240" w:lineRule="auto"/>
        <w:jc w:val="center"/>
        <w:outlineLvl w:val="0"/>
        <w:rPr>
          <w:rFonts w:ascii="宋体" w:eastAsia="黑体"/>
          <w:sz w:val="44"/>
          <w:szCs w:val="44"/>
          <w:lang w:eastAsia="zh-CN"/>
        </w:rPr>
      </w:pPr>
      <w:r>
        <w:rPr>
          <w:rFonts w:ascii="宋体" w:eastAsia="黑体"/>
          <w:sz w:val="44"/>
          <w:szCs w:val="44"/>
          <w:lang w:eastAsia="zh-CN"/>
        </w:rPr>
        <w:t>中共乌鲁木齐市达坂城区委员会</w:t>
      </w:r>
    </w:p>
    <w:p w14:paraId="75126960">
      <w:pPr>
        <w:spacing w:after="0" w:line="240" w:lineRule="auto"/>
        <w:jc w:val="center"/>
        <w:outlineLvl w:val="0"/>
        <w:rPr>
          <w:rFonts w:hint="eastAsia" w:ascii="宋体" w:eastAsia="黑体"/>
          <w:sz w:val="44"/>
          <w:szCs w:val="44"/>
          <w:lang w:eastAsia="zh-CN"/>
        </w:rPr>
      </w:pPr>
      <w:r>
        <w:rPr>
          <w:rFonts w:ascii="宋体" w:eastAsia="黑体"/>
          <w:sz w:val="44"/>
          <w:szCs w:val="44"/>
          <w:lang w:eastAsia="zh-CN"/>
        </w:rPr>
        <w:t>统一战线工作部</w:t>
      </w:r>
    </w:p>
    <w:p w14:paraId="5E616E9A">
      <w:pPr>
        <w:spacing w:after="0" w:line="240" w:lineRule="auto"/>
        <w:jc w:val="center"/>
        <w:outlineLvl w:val="0"/>
        <w:rPr>
          <w:rFonts w:hint="eastAsia" w:ascii="黑体" w:eastAsia="黑体"/>
          <w:sz w:val="44"/>
          <w:szCs w:val="44"/>
          <w:lang w:eastAsia="zh-CN"/>
        </w:rPr>
      </w:pPr>
      <w:r>
        <w:rPr>
          <w:rFonts w:ascii="黑体" w:eastAsia="黑体"/>
          <w:sz w:val="44"/>
          <w:szCs w:val="44"/>
          <w:lang w:eastAsia="zh-CN"/>
        </w:rPr>
        <w:t>2024年度部门决算公开说明</w:t>
      </w:r>
    </w:p>
    <w:p w14:paraId="5ADCE4FB">
      <w:pPr>
        <w:rPr>
          <w:rFonts w:hint="eastAsia"/>
          <w:lang w:eastAsia="zh-CN"/>
        </w:rPr>
      </w:pPr>
      <w:r>
        <w:rPr>
          <w:sz w:val="0"/>
          <w:szCs w:val="0"/>
          <w:lang w:eastAsia="zh-CN"/>
        </w:rPr>
        <w:br w:type="page"/>
      </w:r>
    </w:p>
    <w:p w14:paraId="6749659F">
      <w:pPr>
        <w:spacing w:after="0" w:line="240" w:lineRule="auto"/>
        <w:jc w:val="center"/>
        <w:rPr>
          <w:rFonts w:hint="eastAsia" w:ascii="黑体" w:eastAsia="黑体"/>
          <w:sz w:val="32"/>
          <w:szCs w:val="32"/>
          <w:lang w:eastAsia="zh-CN"/>
        </w:rPr>
      </w:pPr>
      <w:r>
        <w:rPr>
          <w:rFonts w:ascii="黑体" w:eastAsia="黑体"/>
          <w:b/>
          <w:sz w:val="32"/>
          <w:szCs w:val="32"/>
          <w:lang w:eastAsia="zh-CN"/>
        </w:rPr>
        <w:t>目  录</w:t>
      </w:r>
    </w:p>
    <w:p w14:paraId="05CC68F2">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第一部分单位概况</w:t>
      </w:r>
    </w:p>
    <w:p w14:paraId="0DE2B9C6">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一、主要职能</w:t>
      </w:r>
    </w:p>
    <w:p w14:paraId="4DFD9AB3">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二、机构设置及人员情况</w:t>
      </w:r>
    </w:p>
    <w:p w14:paraId="1524A098">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第二部分 部门决算情况说明</w:t>
      </w:r>
    </w:p>
    <w:p w14:paraId="39319959">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一、收入支出决算总体情况说明</w:t>
      </w:r>
    </w:p>
    <w:p w14:paraId="3ED4B2AA">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二、收入决算情况说明</w:t>
      </w:r>
    </w:p>
    <w:p w14:paraId="00D6FA9B">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三、支出决算情况说明</w:t>
      </w:r>
    </w:p>
    <w:p w14:paraId="5258AD6D">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四、财政拨款收入支出决算总体情况说明</w:t>
      </w:r>
    </w:p>
    <w:p w14:paraId="2F021361">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五、一般公共预算财政拨款支出决算情况说明</w:t>
      </w:r>
    </w:p>
    <w:p w14:paraId="7DAE3AF0">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（一）一般公共预算财政拨款支出决算总体情况</w:t>
      </w:r>
    </w:p>
    <w:p w14:paraId="20180D10">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（二）一般公共预算财政拨款支出决算结构情况</w:t>
      </w:r>
    </w:p>
    <w:p w14:paraId="55B9ECA9">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（三）一般公共预算财政拨款支出决算具体情况</w:t>
      </w:r>
    </w:p>
    <w:p w14:paraId="58B90508">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​六、一般公共预算财政拨款基本支出决算情况说明</w:t>
      </w:r>
    </w:p>
    <w:p w14:paraId="4D02E47D">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七、政府性基金预算财政拨款收入支出决算情况说明</w:t>
      </w:r>
    </w:p>
    <w:p w14:paraId="03046E6C">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八、国有资本经营预算财政拨款收入支出决算情况说明</w:t>
      </w:r>
    </w:p>
    <w:p w14:paraId="5C0CE4FF">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九、财政拨款“三公”经费支出决算情况说明</w:t>
      </w:r>
    </w:p>
    <w:p w14:paraId="75B9FA94">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​十、其他重要事项的情况说明</w:t>
      </w:r>
    </w:p>
    <w:p w14:paraId="7ACEFED7">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（一）机关运行经费及公用经费支出情况</w:t>
      </w:r>
    </w:p>
    <w:p w14:paraId="721380B4">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（二）政府采购情况</w:t>
      </w:r>
    </w:p>
    <w:p w14:paraId="713D6A4E">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（三）国有资产占用情况说明</w:t>
      </w:r>
    </w:p>
    <w:p w14:paraId="5C242859">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十一、预算绩效的情况说明</w:t>
      </w:r>
    </w:p>
    <w:p w14:paraId="722CBB77">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十二、其他需说明的事项</w:t>
      </w:r>
    </w:p>
    <w:p w14:paraId="3920BBF7">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第三部分 专业名词解释</w:t>
      </w:r>
    </w:p>
    <w:p w14:paraId="37D7D6C3">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第四部分 部门决算报表（见附表）</w:t>
      </w:r>
    </w:p>
    <w:p w14:paraId="6E56BD1F">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一、《收入支出决算总表》</w:t>
      </w:r>
    </w:p>
    <w:p w14:paraId="10A236A4">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二、《收入决算表》</w:t>
      </w:r>
    </w:p>
    <w:p w14:paraId="3A16E61B">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三、《支出决算表》</w:t>
      </w:r>
    </w:p>
    <w:p w14:paraId="1B8659F3">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四、《财政拨款收入支出决算总表》</w:t>
      </w:r>
    </w:p>
    <w:p w14:paraId="0C358557">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五、《一般公共预算财政拨款支出决算表》</w:t>
      </w:r>
    </w:p>
    <w:p w14:paraId="7C4907B5">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18B9B84C">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27DFF3BC">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559628A5">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九、《财政拨款“三公”经费支出决算表》</w:t>
      </w:r>
    </w:p>
    <w:p w14:paraId="7CA2285D">
      <w:pPr>
        <w:rPr>
          <w:rFonts w:hint="eastAsia"/>
          <w:lang w:eastAsia="zh-CN"/>
        </w:rPr>
      </w:pPr>
      <w:r>
        <w:rPr>
          <w:sz w:val="0"/>
          <w:szCs w:val="0"/>
          <w:lang w:eastAsia="zh-CN"/>
        </w:rPr>
        <w:br w:type="page"/>
      </w:r>
    </w:p>
    <w:p w14:paraId="73F38399">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第一部分 单位概况</w:t>
      </w:r>
    </w:p>
    <w:p w14:paraId="600C82AF">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 一、主要职能</w:t>
      </w:r>
    </w:p>
    <w:p w14:paraId="5AFE6863">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落实主体责任，旗帜鲜明加强党对统战、民族宗教工作的全面领导；强化政治引领，凝聚思想共识，不断提升统战工作效能；有形有感有效铸牢中华民族共同体意识；坚持我国宗教中国化方向，促进宗教健康发展；凝聚侨心，持续做好海外统战和侨务工作；扎实做好新的的社会阶层人士统战工作；持续做好非公有制经济工作；持续抓实统战干部队伍自身建设。</w:t>
      </w:r>
    </w:p>
    <w:p w14:paraId="6CF77E9F">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二、机构设置及人员情况</w:t>
      </w:r>
    </w:p>
    <w:p w14:paraId="6DC17FBD">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中共乌鲁木齐市达坂城区委员会统一战线工作部2024年度，实有人数14人，其中：在职人员12人，增加4人；离休人员0人，较上年无变化；退休人员2人，增加1人。</w:t>
      </w:r>
    </w:p>
    <w:p w14:paraId="334E57BE">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中共乌鲁木齐市达坂城区委员会统一战线工作部无下属预算单位，下设</w:t>
      </w:r>
      <w:r>
        <w:rPr>
          <w:rFonts w:hint="eastAsia" w:ascii="仿宋_GB2312" w:eastAsia="仿宋_GB2312"/>
          <w:sz w:val="32"/>
          <w:szCs w:val="32"/>
          <w:lang w:eastAsia="zh-CN"/>
        </w:rPr>
        <w:t>1</w:t>
      </w:r>
      <w:r>
        <w:rPr>
          <w:rFonts w:ascii="仿宋_GB2312" w:eastAsia="仿宋_GB2312"/>
          <w:sz w:val="32"/>
          <w:szCs w:val="32"/>
          <w:lang w:eastAsia="zh-CN"/>
        </w:rPr>
        <w:t>个科室，分别是：</w:t>
      </w:r>
      <w:r>
        <w:rPr>
          <w:rFonts w:hint="eastAsia" w:ascii="仿宋_GB2312" w:eastAsia="仿宋_GB2312"/>
          <w:sz w:val="32"/>
          <w:szCs w:val="32"/>
          <w:lang w:eastAsia="zh-CN"/>
        </w:rPr>
        <w:t>办公室</w:t>
      </w:r>
      <w:r>
        <w:rPr>
          <w:rFonts w:ascii="仿宋_GB2312" w:eastAsia="仿宋_GB2312"/>
          <w:sz w:val="32"/>
          <w:szCs w:val="32"/>
          <w:lang w:eastAsia="zh-CN"/>
        </w:rPr>
        <w:t>。</w:t>
      </w:r>
    </w:p>
    <w:p w14:paraId="5F88E505">
      <w:pPr>
        <w:rPr>
          <w:rFonts w:hint="eastAsia"/>
          <w:lang w:eastAsia="zh-CN"/>
        </w:rPr>
      </w:pPr>
      <w:r>
        <w:rPr>
          <w:sz w:val="0"/>
          <w:szCs w:val="0"/>
          <w:lang w:eastAsia="zh-CN"/>
        </w:rPr>
        <w:br w:type="page"/>
      </w:r>
    </w:p>
    <w:p w14:paraId="21C6D838">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第二部分 部门决算情况说明</w:t>
      </w:r>
    </w:p>
    <w:p w14:paraId="6461A94B">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一、收入支出决算总体情况说明</w:t>
      </w:r>
    </w:p>
    <w:p w14:paraId="11A890FE">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2024年度收入总计359.51万元，其中：本年收入合计353.83万元，使用非财政拨款结余（含专用结余）0.00万元，年初结转和结余5.67万元。</w:t>
      </w:r>
    </w:p>
    <w:p w14:paraId="0ACF2596">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2024年度支出总计359.51万元，其中：本年支出合计354.82万元，结余分配0.00万元，年末结转和结余4.68万元。</w:t>
      </w:r>
    </w:p>
    <w:p w14:paraId="47E19FA4">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收入支出总体与上年相比，增加96.09万元，增长36.48%，主要原因是：区民宗局合并至区统战部，单位</w:t>
      </w:r>
      <w:r>
        <w:rPr>
          <w:rFonts w:hint="eastAsia" w:ascii="仿宋_GB2312" w:eastAsia="仿宋_GB2312"/>
          <w:sz w:val="32"/>
          <w:szCs w:val="32"/>
          <w:lang w:eastAsia="zh-CN"/>
        </w:rPr>
        <w:t>在职</w:t>
      </w:r>
      <w:r>
        <w:rPr>
          <w:rFonts w:ascii="仿宋_GB2312" w:eastAsia="仿宋_GB2312"/>
          <w:sz w:val="32"/>
          <w:szCs w:val="32"/>
          <w:lang w:eastAsia="zh-CN"/>
        </w:rPr>
        <w:t>人数增加，</w:t>
      </w:r>
      <w:r>
        <w:rPr>
          <w:rFonts w:hint="eastAsia" w:ascii="仿宋_GB2312" w:eastAsia="仿宋_GB2312"/>
          <w:sz w:val="32"/>
          <w:szCs w:val="32"/>
          <w:lang w:eastAsia="zh-CN"/>
        </w:rPr>
        <w:t>人员工资、住房公积金、社保及津补贴等人员经费较上年增加</w:t>
      </w:r>
      <w:r>
        <w:rPr>
          <w:rFonts w:ascii="仿宋_GB2312" w:eastAsia="仿宋_GB2312"/>
          <w:sz w:val="32"/>
          <w:szCs w:val="32"/>
          <w:lang w:eastAsia="zh-CN"/>
        </w:rPr>
        <w:t>。</w:t>
      </w:r>
    </w:p>
    <w:p w14:paraId="35B6409A">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二、收入决算情况说明</w:t>
      </w:r>
    </w:p>
    <w:p w14:paraId="2BD92E9C">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本年收入353.83万元，其中：财政拨款收入353.83万元,占100.00%；上级补助收入0.00万元,占0.00%；事业收入0.00万元，占0.00%；经营收入0.00万元,占0.00%；附属单位上缴收入0.00万元，占0.00%；其他收入0.01万元，占0.00%。</w:t>
      </w:r>
    </w:p>
    <w:p w14:paraId="45DDE845">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三、支出决算情况说明</w:t>
      </w:r>
    </w:p>
    <w:p w14:paraId="6D24717C">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本年支出354.82万元，其中：基本支出197.46万元，占55.65%；项目支出157.36万元，占44.35%；上缴上级支出0.00万元，占0.00%；经营支出0.00万元，占0.00%；对附属单位补助支出0.00万元，占0.00%。</w:t>
      </w:r>
    </w:p>
    <w:p w14:paraId="2A229AC2">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四、财政拨款收入支出决算总体情况说明</w:t>
      </w:r>
    </w:p>
    <w:p w14:paraId="0C97CFEF">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2024年度财政拨款收入总计353.83万元，其中：年初财政拨款结转和结余0.00万元，本年财政拨款收入353.83万元。财政拨款支出总计353.83万元，其中：年末财政拨款结转和结余0.00万元，本年财政拨款支出353.83万元。</w:t>
      </w:r>
    </w:p>
    <w:p w14:paraId="3710B3EE">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财政拨款收入支出总体与上年相比，增加101.74万元，增长40.36%，主要原因是：区民宗局合并至区统战部，单位</w:t>
      </w:r>
      <w:r>
        <w:rPr>
          <w:rFonts w:hint="eastAsia" w:ascii="仿宋_GB2312" w:eastAsia="仿宋_GB2312"/>
          <w:sz w:val="32"/>
          <w:szCs w:val="32"/>
          <w:lang w:eastAsia="zh-CN"/>
        </w:rPr>
        <w:t>在职</w:t>
      </w:r>
      <w:r>
        <w:rPr>
          <w:rFonts w:ascii="仿宋_GB2312" w:eastAsia="仿宋_GB2312"/>
          <w:sz w:val="32"/>
          <w:szCs w:val="32"/>
          <w:lang w:eastAsia="zh-CN"/>
        </w:rPr>
        <w:t>人数增加，</w:t>
      </w:r>
      <w:r>
        <w:rPr>
          <w:rFonts w:hint="eastAsia" w:ascii="仿宋_GB2312" w:eastAsia="仿宋_GB2312"/>
          <w:sz w:val="32"/>
          <w:szCs w:val="32"/>
          <w:lang w:eastAsia="zh-CN"/>
        </w:rPr>
        <w:t>人员工资、住房公积金、社保及津补贴等人员经费较上年增加</w:t>
      </w:r>
      <w:r>
        <w:rPr>
          <w:rFonts w:ascii="仿宋_GB2312" w:eastAsia="仿宋_GB2312"/>
          <w:sz w:val="32"/>
          <w:szCs w:val="32"/>
          <w:lang w:eastAsia="zh-CN"/>
        </w:rPr>
        <w:t>。与年初预算相比，年初预算数194.24万元，决算数353.83万元，预决算差异率82.16%，主要原因是：区民宗局合并至区统战部，单位</w:t>
      </w:r>
      <w:r>
        <w:rPr>
          <w:rFonts w:hint="eastAsia" w:ascii="仿宋_GB2312" w:eastAsia="仿宋_GB2312"/>
          <w:sz w:val="32"/>
          <w:szCs w:val="32"/>
          <w:lang w:eastAsia="zh-CN"/>
        </w:rPr>
        <w:t>在职</w:t>
      </w:r>
      <w:r>
        <w:rPr>
          <w:rFonts w:ascii="仿宋_GB2312" w:eastAsia="仿宋_GB2312"/>
          <w:sz w:val="32"/>
          <w:szCs w:val="32"/>
          <w:lang w:eastAsia="zh-CN"/>
        </w:rPr>
        <w:t>人数增加，</w:t>
      </w:r>
      <w:r>
        <w:rPr>
          <w:rFonts w:hint="eastAsia" w:ascii="仿宋_GB2312" w:eastAsia="仿宋_GB2312"/>
          <w:sz w:val="32"/>
          <w:szCs w:val="32"/>
          <w:lang w:eastAsia="zh-CN"/>
        </w:rPr>
        <w:t>年中追加人员工资、津补贴等人员经费</w:t>
      </w:r>
      <w:r>
        <w:rPr>
          <w:rFonts w:ascii="仿宋_GB2312" w:eastAsia="仿宋_GB2312"/>
          <w:sz w:val="32"/>
          <w:szCs w:val="32"/>
          <w:lang w:eastAsia="zh-CN"/>
        </w:rPr>
        <w:t>。</w:t>
      </w:r>
    </w:p>
    <w:p w14:paraId="16D37C78">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五、一般公共预算财政拨款支出决算情况说明</w:t>
      </w:r>
    </w:p>
    <w:p w14:paraId="4A5AB440">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（一）一般公共预算财政拨款支出决算总体情况</w:t>
      </w:r>
    </w:p>
    <w:p w14:paraId="14C1DEFC">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2024年度一般公共预算财政拨款支出353.83万元，占本年支出合计的99.72%。与上年相比，增加102.17万元，增长40.60%，主要原因是：区民宗局合并至区统战部，单位</w:t>
      </w:r>
      <w:r>
        <w:rPr>
          <w:rFonts w:hint="eastAsia" w:ascii="仿宋_GB2312" w:eastAsia="仿宋_GB2312"/>
          <w:sz w:val="32"/>
          <w:szCs w:val="32"/>
          <w:lang w:eastAsia="zh-CN"/>
        </w:rPr>
        <w:t>在职</w:t>
      </w:r>
      <w:r>
        <w:rPr>
          <w:rFonts w:ascii="仿宋_GB2312" w:eastAsia="仿宋_GB2312"/>
          <w:sz w:val="32"/>
          <w:szCs w:val="32"/>
          <w:lang w:eastAsia="zh-CN"/>
        </w:rPr>
        <w:t>人数增加，</w:t>
      </w:r>
      <w:r>
        <w:rPr>
          <w:rFonts w:hint="eastAsia" w:ascii="仿宋_GB2312" w:eastAsia="仿宋_GB2312"/>
          <w:sz w:val="32"/>
          <w:szCs w:val="32"/>
          <w:lang w:eastAsia="zh-CN"/>
        </w:rPr>
        <w:t>人员工资、住房公积金、社保及津补贴等人员经费较上年增加</w:t>
      </w:r>
      <w:r>
        <w:rPr>
          <w:rFonts w:ascii="仿宋_GB2312" w:eastAsia="仿宋_GB2312"/>
          <w:sz w:val="32"/>
          <w:szCs w:val="32"/>
          <w:lang w:eastAsia="zh-CN"/>
        </w:rPr>
        <w:t>。与年初预算相比，年初预算数194.24万元，决算数353.83万元，预决算差异率82.16%，主要原因是：区民宗局合并至区统战部，单位</w:t>
      </w:r>
      <w:r>
        <w:rPr>
          <w:rFonts w:hint="eastAsia" w:ascii="仿宋_GB2312" w:eastAsia="仿宋_GB2312"/>
          <w:sz w:val="32"/>
          <w:szCs w:val="32"/>
          <w:lang w:eastAsia="zh-CN"/>
        </w:rPr>
        <w:t>在职</w:t>
      </w:r>
      <w:r>
        <w:rPr>
          <w:rFonts w:ascii="仿宋_GB2312" w:eastAsia="仿宋_GB2312"/>
          <w:sz w:val="32"/>
          <w:szCs w:val="32"/>
          <w:lang w:eastAsia="zh-CN"/>
        </w:rPr>
        <w:t>人数增加，</w:t>
      </w:r>
      <w:r>
        <w:rPr>
          <w:rFonts w:hint="eastAsia" w:ascii="仿宋_GB2312" w:eastAsia="仿宋_GB2312"/>
          <w:sz w:val="32"/>
          <w:szCs w:val="32"/>
          <w:lang w:eastAsia="zh-CN"/>
        </w:rPr>
        <w:t>年中追加人员工资、津补贴等人员经费</w:t>
      </w:r>
      <w:r>
        <w:rPr>
          <w:rFonts w:ascii="仿宋_GB2312" w:eastAsia="仿宋_GB2312"/>
          <w:sz w:val="32"/>
          <w:szCs w:val="32"/>
          <w:lang w:eastAsia="zh-CN"/>
        </w:rPr>
        <w:t>。</w:t>
      </w:r>
    </w:p>
    <w:p w14:paraId="6C9413F4">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（二）一般公共预算财政拨款支出决算结构情况</w:t>
      </w:r>
    </w:p>
    <w:p w14:paraId="07CE7081">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一般公共服务支出（类）334.83万元，占94.63%。</w:t>
      </w:r>
    </w:p>
    <w:p w14:paraId="15BEB7E4">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2.</w:t>
      </w:r>
      <w:r>
        <w:rPr>
          <w:rFonts w:ascii="仿宋_GB2312" w:eastAsia="仿宋_GB2312"/>
          <w:sz w:val="32"/>
          <w:szCs w:val="32"/>
          <w:lang w:eastAsia="zh-CN"/>
        </w:rPr>
        <w:t>社会保障和就业支出（类）18.99万元，占5.37%。</w:t>
      </w:r>
    </w:p>
    <w:p w14:paraId="50A1740D">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（三）一般公共预算财政拨款支出决算具体情况</w:t>
      </w:r>
    </w:p>
    <w:p w14:paraId="5CEE08D6">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1、一般公共服务支出（类）统战事务（款）行政运行（项）：支出决算数为52.61万元，比上年决算增加8.94万元，增长20.47%，主要原因是：区民宗局合并至区统战部，单位</w:t>
      </w:r>
      <w:r>
        <w:rPr>
          <w:rFonts w:hint="eastAsia" w:ascii="仿宋_GB2312" w:eastAsia="仿宋_GB2312"/>
          <w:sz w:val="32"/>
          <w:szCs w:val="32"/>
          <w:lang w:eastAsia="zh-CN"/>
        </w:rPr>
        <w:t>在职</w:t>
      </w:r>
      <w:r>
        <w:rPr>
          <w:rFonts w:ascii="仿宋_GB2312" w:eastAsia="仿宋_GB2312"/>
          <w:sz w:val="32"/>
          <w:szCs w:val="32"/>
          <w:lang w:eastAsia="zh-CN"/>
        </w:rPr>
        <w:t>人数增加，</w:t>
      </w:r>
      <w:r>
        <w:rPr>
          <w:rFonts w:hint="eastAsia" w:ascii="仿宋_GB2312" w:eastAsia="仿宋_GB2312"/>
          <w:sz w:val="32"/>
          <w:szCs w:val="32"/>
          <w:lang w:eastAsia="zh-CN"/>
        </w:rPr>
        <w:t>人员工资、住房公积金、津补贴等人员经费较上年增加</w:t>
      </w:r>
      <w:r>
        <w:rPr>
          <w:rFonts w:ascii="仿宋_GB2312" w:eastAsia="仿宋_GB2312"/>
          <w:sz w:val="32"/>
          <w:szCs w:val="32"/>
          <w:lang w:eastAsia="zh-CN"/>
        </w:rPr>
        <w:t>。</w:t>
      </w:r>
    </w:p>
    <w:p w14:paraId="32D5EC15">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2、一般公共服务支出（类）统战事务（款）一般行政管理事务（项）：支出决算数为0.00万元，比上年决算减少97.35万元，下降100.00%，主要原因是：</w:t>
      </w:r>
      <w:r>
        <w:rPr>
          <w:rFonts w:hint="eastAsia" w:ascii="仿宋_GB2312" w:eastAsia="仿宋_GB2312"/>
          <w:sz w:val="32"/>
          <w:szCs w:val="32"/>
          <w:lang w:eastAsia="zh-CN"/>
        </w:rPr>
        <w:t>本年我单位未安排</w:t>
      </w:r>
      <w:r>
        <w:rPr>
          <w:rFonts w:ascii="仿宋_GB2312" w:eastAsia="仿宋_GB2312"/>
          <w:sz w:val="32"/>
          <w:szCs w:val="32"/>
          <w:lang w:eastAsia="zh-CN"/>
        </w:rPr>
        <w:t>达坂城区爱国宗教人士工资。</w:t>
      </w:r>
    </w:p>
    <w:p w14:paraId="53CEC28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3、一般公共服务支出（类）统战事务（款）事业运行（项）：支出决算数为125.86万元，比上年决算增加38.47万元，增长44.02%，主要原因是：区民宗局合并至区统战部，单位</w:t>
      </w:r>
      <w:r>
        <w:rPr>
          <w:rFonts w:hint="eastAsia" w:ascii="仿宋_GB2312" w:eastAsia="仿宋_GB2312"/>
          <w:sz w:val="32"/>
          <w:szCs w:val="32"/>
          <w:lang w:eastAsia="zh-CN"/>
        </w:rPr>
        <w:t>在职</w:t>
      </w:r>
      <w:r>
        <w:rPr>
          <w:rFonts w:ascii="仿宋_GB2312" w:eastAsia="仿宋_GB2312"/>
          <w:sz w:val="32"/>
          <w:szCs w:val="32"/>
          <w:lang w:eastAsia="zh-CN"/>
        </w:rPr>
        <w:t>人数增加，</w:t>
      </w:r>
      <w:r>
        <w:rPr>
          <w:rFonts w:hint="eastAsia" w:ascii="仿宋_GB2312" w:eastAsia="仿宋_GB2312"/>
          <w:sz w:val="32"/>
          <w:szCs w:val="32"/>
          <w:lang w:eastAsia="zh-CN"/>
        </w:rPr>
        <w:t>人员工资、住房公积金、津补贴等人员经费较上年增加</w:t>
      </w:r>
      <w:r>
        <w:rPr>
          <w:rFonts w:ascii="仿宋_GB2312" w:eastAsia="仿宋_GB2312"/>
          <w:sz w:val="32"/>
          <w:szCs w:val="32"/>
          <w:lang w:eastAsia="zh-CN"/>
        </w:rPr>
        <w:t>。</w:t>
      </w:r>
    </w:p>
    <w:p w14:paraId="3E08F01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4、一般公共服务支出（类）统战事务（款）其他统战事务支出（项）：支出决算数为156.36万元，比上年决算增加143.96万元，增长1,160.97%，主要原因是：</w:t>
      </w:r>
      <w:r>
        <w:rPr>
          <w:rFonts w:hint="eastAsia" w:ascii="仿宋_GB2312" w:eastAsia="仿宋_GB2312"/>
          <w:sz w:val="32"/>
          <w:szCs w:val="32"/>
          <w:lang w:eastAsia="zh-CN"/>
        </w:rPr>
        <w:t>本年增加</w:t>
      </w:r>
      <w:r>
        <w:rPr>
          <w:rFonts w:ascii="仿宋_GB2312" w:eastAsia="仿宋_GB2312"/>
          <w:sz w:val="32"/>
          <w:szCs w:val="32"/>
          <w:lang w:eastAsia="zh-CN"/>
        </w:rPr>
        <w:t>达坂城区爱国宗教人士生活补贴</w:t>
      </w:r>
      <w:r>
        <w:rPr>
          <w:rFonts w:hint="eastAsia" w:ascii="仿宋_GB2312" w:eastAsia="仿宋_GB2312"/>
          <w:sz w:val="32"/>
          <w:szCs w:val="32"/>
          <w:lang w:eastAsia="zh-CN"/>
        </w:rPr>
        <w:t>经费</w:t>
      </w:r>
      <w:r>
        <w:rPr>
          <w:rFonts w:ascii="仿宋_GB2312" w:eastAsia="仿宋_GB2312"/>
          <w:sz w:val="32"/>
          <w:szCs w:val="32"/>
          <w:lang w:eastAsia="zh-CN"/>
        </w:rPr>
        <w:t>。</w:t>
      </w:r>
    </w:p>
    <w:p w14:paraId="77F037D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5、社会保障和就业支出（类）行政事业单位养老支出（款）机关事业单位基本养老保险缴费支出（项）：支出决算数为18.99万元，比上年决算增加8.17万元，增长75.51%，主要原因是：区民宗局合并至区统战部，单位</w:t>
      </w:r>
      <w:r>
        <w:rPr>
          <w:rFonts w:hint="eastAsia" w:ascii="仿宋_GB2312" w:eastAsia="仿宋_GB2312"/>
          <w:sz w:val="32"/>
          <w:szCs w:val="32"/>
          <w:lang w:eastAsia="zh-CN"/>
        </w:rPr>
        <w:t>在职</w:t>
      </w:r>
      <w:r>
        <w:rPr>
          <w:rFonts w:ascii="仿宋_GB2312" w:eastAsia="仿宋_GB2312"/>
          <w:sz w:val="32"/>
          <w:szCs w:val="32"/>
          <w:lang w:eastAsia="zh-CN"/>
        </w:rPr>
        <w:t>人数增加，</w:t>
      </w:r>
      <w:r>
        <w:rPr>
          <w:rFonts w:hint="eastAsia" w:ascii="仿宋_GB2312" w:eastAsia="仿宋_GB2312"/>
          <w:sz w:val="32"/>
          <w:szCs w:val="32"/>
          <w:lang w:eastAsia="zh-CN"/>
        </w:rPr>
        <w:t>人员</w:t>
      </w:r>
      <w:r>
        <w:rPr>
          <w:rFonts w:ascii="仿宋_GB2312" w:eastAsia="仿宋_GB2312"/>
          <w:sz w:val="32"/>
          <w:szCs w:val="32"/>
          <w:lang w:eastAsia="zh-CN"/>
        </w:rPr>
        <w:t>养老保险缴费</w:t>
      </w:r>
      <w:r>
        <w:rPr>
          <w:rFonts w:hint="eastAsia" w:ascii="仿宋_GB2312" w:eastAsia="仿宋_GB2312"/>
          <w:sz w:val="32"/>
          <w:szCs w:val="32"/>
          <w:lang w:eastAsia="zh-CN"/>
        </w:rPr>
        <w:t>增加</w:t>
      </w:r>
      <w:r>
        <w:rPr>
          <w:rFonts w:ascii="仿宋_GB2312" w:eastAsia="仿宋_GB2312"/>
          <w:sz w:val="32"/>
          <w:szCs w:val="32"/>
          <w:lang w:eastAsia="zh-CN"/>
        </w:rPr>
        <w:t>。</w:t>
      </w:r>
    </w:p>
    <w:p w14:paraId="559A180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6、其他支出（类）其他支出（款）其他支出（项）：支出决算数为0.00万元，比上年决算减少0.03万元，下降100.00%，主要原因是：</w:t>
      </w:r>
      <w:r>
        <w:rPr>
          <w:rFonts w:hint="eastAsia" w:ascii="仿宋_GB2312" w:eastAsia="仿宋_GB2312"/>
          <w:sz w:val="32"/>
          <w:szCs w:val="32"/>
          <w:lang w:eastAsia="zh-CN"/>
        </w:rPr>
        <w:t>本年单位未安排为民办实事业务经费</w:t>
      </w:r>
      <w:r>
        <w:rPr>
          <w:rFonts w:ascii="仿宋_GB2312" w:eastAsia="仿宋_GB2312"/>
          <w:sz w:val="32"/>
          <w:szCs w:val="32"/>
          <w:lang w:eastAsia="zh-CN"/>
        </w:rPr>
        <w:t>。</w:t>
      </w:r>
    </w:p>
    <w:p w14:paraId="1397B881">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六、一般公共预算财政拨款基本支出决算情况说明</w:t>
      </w:r>
    </w:p>
    <w:p w14:paraId="3E8DF40C">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一般公共预算财政拨款基本支出197.46万元，其中：人员经费189.63万元，包括：基本工资、津贴补贴、奖金、绩效工资、机关事业单位基本养老保险缴费、职工基本医疗保险缴费、公务员医疗补助缴费、其他社会保障缴费、住房公积金、退休费和奖励金。</w:t>
      </w:r>
    </w:p>
    <w:p w14:paraId="66D83943">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公用经费7.84万元，包括：办公费、邮电费、差旅费、工会经费、福利费和其他交通费用。</w:t>
      </w:r>
    </w:p>
    <w:p w14:paraId="1019B56E">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七、政府性基金预算财政拨款收入支出决算情况说明</w:t>
      </w:r>
    </w:p>
    <w:p w14:paraId="4551FAA0">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本单位本年度无政府性基金预算财政拨款收入、支出及结转和结余，政府性基金预算财政拨款收入支出决算表为空表。</w:t>
      </w:r>
    </w:p>
    <w:p w14:paraId="7508B8C5">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八、国有资本经营预算财政拨款收入支出决算情况说明</w:t>
      </w:r>
    </w:p>
    <w:p w14:paraId="6AA545F0">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本单位本年度无国有资本经营预算财政拨款收入、支出及结转和结余，国有资本经营预算财政拨款收入支出决算表为空表。</w:t>
      </w:r>
    </w:p>
    <w:p w14:paraId="61790970">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九、财政拨款“三公”经费支出决算情况说明</w:t>
      </w:r>
    </w:p>
    <w:p w14:paraId="7B6BF430">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2024年度财政拨款“三公”经费支出0.00万元，与上年相比无变化，主要原因是：</w:t>
      </w:r>
      <w:bookmarkStart w:id="0" w:name="_Hlk207143847"/>
      <w:r>
        <w:rPr>
          <w:rFonts w:hint="eastAsia" w:ascii="仿宋_GB2312" w:eastAsia="仿宋_GB2312"/>
          <w:sz w:val="32"/>
          <w:szCs w:val="32"/>
          <w:lang w:eastAsia="zh-CN"/>
        </w:rPr>
        <w:t>我单位上年度与本年度均无此项经费</w:t>
      </w:r>
      <w:bookmarkEnd w:id="0"/>
      <w:r>
        <w:rPr>
          <w:rFonts w:ascii="仿宋_GB2312" w:eastAsia="仿宋_GB2312"/>
          <w:sz w:val="32"/>
          <w:szCs w:val="32"/>
          <w:lang w:eastAsia="zh-CN"/>
        </w:rPr>
        <w:t>。其中：因公出国（境）费支出0.00万元,占0.00%，与上年相比无变化，主要原因是：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；公务用车购置及运行维护费支出0.00万元，占0.00%，与上年相比无变化，主要原因是：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；公务接待费支出0.00万元，占0.00%，与上年相比无变化，主要原因是：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w:t>
      </w:r>
    </w:p>
    <w:p w14:paraId="7783C1DB">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具体情况如下：</w:t>
      </w:r>
    </w:p>
    <w:p w14:paraId="14B0E878">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因公出国（境）费支出0.00万元，开支内容包括</w:t>
      </w:r>
      <w:bookmarkStart w:id="1" w:name="_Hlk207143872"/>
      <w:r>
        <w:rPr>
          <w:rFonts w:hint="eastAsia" w:ascii="仿宋_GB2312" w:eastAsia="仿宋_GB2312"/>
          <w:sz w:val="32"/>
          <w:szCs w:val="32"/>
          <w:lang w:eastAsia="zh-CN"/>
        </w:rPr>
        <w:t>单位本年无</w:t>
      </w:r>
      <w:r>
        <w:rPr>
          <w:rFonts w:ascii="仿宋_GB2312" w:eastAsia="仿宋_GB2312"/>
          <w:sz w:val="32"/>
          <w:szCs w:val="32"/>
          <w:lang w:eastAsia="zh-CN"/>
        </w:rPr>
        <w:t>因公出国（境）费</w:t>
      </w:r>
      <w:bookmarkEnd w:id="1"/>
      <w:r>
        <w:rPr>
          <w:rFonts w:ascii="仿宋_GB2312" w:eastAsia="仿宋_GB2312"/>
          <w:sz w:val="32"/>
          <w:szCs w:val="32"/>
          <w:lang w:eastAsia="zh-CN"/>
        </w:rPr>
        <w:t>。单位全年安排的因公出国（境）团组0个，因公出国（境）0人次。</w:t>
      </w:r>
    </w:p>
    <w:p w14:paraId="61D30B73">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公务用车购置及运行维护费0.00万元，其中：公务用车购置费0.00万元，公务用车运行维护费0.00万元。公务用车运行维护费开支内容包括</w:t>
      </w:r>
      <w:bookmarkStart w:id="2" w:name="_Hlk207140356"/>
      <w:r>
        <w:rPr>
          <w:rFonts w:hint="eastAsia" w:ascii="仿宋_GB2312" w:eastAsia="仿宋_GB2312"/>
          <w:sz w:val="32"/>
          <w:szCs w:val="32"/>
          <w:lang w:eastAsia="zh-CN"/>
        </w:rPr>
        <w:t>单位本年无</w:t>
      </w:r>
      <w:r>
        <w:rPr>
          <w:rFonts w:ascii="仿宋_GB2312" w:eastAsia="仿宋_GB2312"/>
          <w:sz w:val="32"/>
          <w:szCs w:val="32"/>
          <w:lang w:eastAsia="zh-CN"/>
        </w:rPr>
        <w:t>公务用车</w:t>
      </w:r>
      <w:bookmarkStart w:id="6" w:name="_GoBack"/>
      <w:bookmarkEnd w:id="6"/>
      <w:r>
        <w:rPr>
          <w:rFonts w:ascii="仿宋_GB2312" w:eastAsia="仿宋_GB2312"/>
          <w:sz w:val="32"/>
          <w:szCs w:val="32"/>
          <w:lang w:eastAsia="zh-CN"/>
        </w:rPr>
        <w:t>运行维护费</w:t>
      </w:r>
      <w:bookmarkEnd w:id="2"/>
      <w:r>
        <w:rPr>
          <w:rFonts w:ascii="仿宋_GB2312" w:eastAsia="仿宋_GB2312"/>
          <w:sz w:val="32"/>
          <w:szCs w:val="32"/>
          <w:lang w:eastAsia="zh-CN"/>
        </w:rPr>
        <w:t>。公务用车购置数0辆，公务用车保有量0辆。国有资产占用情况中固定资产车辆1辆，与公务用车保有量差异原因是：本单位</w:t>
      </w:r>
      <w:r>
        <w:rPr>
          <w:rFonts w:hint="eastAsia" w:ascii="仿宋_GB2312" w:eastAsia="仿宋_GB2312"/>
          <w:sz w:val="32"/>
          <w:szCs w:val="32"/>
          <w:lang w:eastAsia="zh-CN"/>
        </w:rPr>
        <w:t>车辆由机关事务中心统一管理</w:t>
      </w:r>
      <w:r>
        <w:rPr>
          <w:rFonts w:ascii="仿宋_GB2312" w:eastAsia="仿宋_GB2312"/>
          <w:sz w:val="32"/>
          <w:szCs w:val="32"/>
          <w:lang w:eastAsia="zh-CN"/>
        </w:rPr>
        <w:t>。</w:t>
      </w:r>
    </w:p>
    <w:p w14:paraId="786B1C08">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公务接待费0.00万元，开支内容包括</w:t>
      </w:r>
      <w:bookmarkStart w:id="3" w:name="_Hlk207140433"/>
      <w:r>
        <w:rPr>
          <w:rFonts w:hint="eastAsia" w:ascii="仿宋_GB2312" w:eastAsia="仿宋_GB2312"/>
          <w:sz w:val="32"/>
          <w:szCs w:val="32"/>
          <w:lang w:eastAsia="zh-CN"/>
        </w:rPr>
        <w:t>单位本年无</w:t>
      </w:r>
      <w:r>
        <w:rPr>
          <w:rFonts w:ascii="仿宋_GB2312" w:eastAsia="仿宋_GB2312"/>
          <w:sz w:val="32"/>
          <w:szCs w:val="32"/>
          <w:lang w:eastAsia="zh-CN"/>
        </w:rPr>
        <w:t>公务接待费</w:t>
      </w:r>
      <w:bookmarkEnd w:id="3"/>
      <w:r>
        <w:rPr>
          <w:rFonts w:ascii="仿宋_GB2312" w:eastAsia="仿宋_GB2312"/>
          <w:sz w:val="32"/>
          <w:szCs w:val="32"/>
          <w:lang w:eastAsia="zh-CN"/>
        </w:rPr>
        <w:t>。单位全年安排的国内公务接待0批次，0人次。</w:t>
      </w:r>
    </w:p>
    <w:p w14:paraId="401F5644">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与全年预算相比，财政拨款“三公”经费支出全年预算数0.00万元，决算数0.00万元，预决算差异率0.00%，主要原因是：</w:t>
      </w:r>
      <w:bookmarkStart w:id="4" w:name="_Hlk207142995"/>
      <w:r>
        <w:rPr>
          <w:rFonts w:hint="eastAsia" w:ascii="仿宋_GB2312" w:eastAsia="仿宋_GB2312"/>
          <w:sz w:val="32"/>
          <w:szCs w:val="32"/>
          <w:lang w:eastAsia="zh-CN"/>
        </w:rPr>
        <w:t>严格按照预算执行，预决算对比无差异</w:t>
      </w:r>
      <w:bookmarkEnd w:id="4"/>
      <w:r>
        <w:rPr>
          <w:rFonts w:ascii="仿宋_GB2312" w:eastAsia="仿宋_GB2312"/>
          <w:sz w:val="32"/>
          <w:szCs w:val="32"/>
          <w:lang w:eastAsia="zh-CN"/>
        </w:rPr>
        <w:t>。其中：因公出国（境）费全年预算数0.00万元，决算数0.00万元，预决算差异率0.00%，主要原因是：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；公务用车购置费全年预算数0.00万元，决算数0.00万元，预决算差异率0.00%，主要原因是：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；公务用车运行维护费全年预算数0.00万元，决算数0.00万元，预决算差异率0.00%，主要原因是：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；公务接待费全年预算数0.00万元，决算数0.00万元，预决算差异率0.00%，主要原因是：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w:t>
      </w:r>
    </w:p>
    <w:p w14:paraId="0D3D562F">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十、其他重要事项的情况说明</w:t>
      </w:r>
    </w:p>
    <w:p w14:paraId="051FF6A2">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（一）机关运行经费及公用经费支出情况</w:t>
      </w:r>
    </w:p>
    <w:p w14:paraId="3645691D">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2024年度中共乌鲁木齐市达坂城区委员会统一战线工作部单位（行政单位和参照公务员法管理事业单位）机关运行经费支出7.84万元，比上年增加0.42万元，增长5.66%，主要原因是：</w:t>
      </w:r>
      <w:r>
        <w:rPr>
          <w:rFonts w:hint="eastAsia" w:ascii="仿宋_GB2312" w:eastAsia="仿宋_GB2312"/>
          <w:sz w:val="32"/>
          <w:szCs w:val="32"/>
          <w:lang w:eastAsia="zh-CN"/>
        </w:rPr>
        <w:t>本年单位办公经费、邮电费等较上年增加</w:t>
      </w:r>
      <w:r>
        <w:rPr>
          <w:rFonts w:ascii="仿宋_GB2312" w:eastAsia="仿宋_GB2312"/>
          <w:sz w:val="32"/>
          <w:szCs w:val="32"/>
          <w:lang w:eastAsia="zh-CN"/>
        </w:rPr>
        <w:t>。</w:t>
      </w:r>
    </w:p>
    <w:p w14:paraId="1FDE4339">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（二）政府采购情况</w:t>
      </w:r>
    </w:p>
    <w:p w14:paraId="2CC59256">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2024年度政府采购支出总额0.13万元，其中：政府采购货物支出0.13万元、政府采购工程支出0.00万元、政府采购服务支出0.00万元。</w:t>
      </w:r>
    </w:p>
    <w:p w14:paraId="328BC2A9">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授予中小企业合同金额0.13万元，占政府采购支出总额的100.00%，其中：授予小微企业合同金额0.13万元，占政府采购支出总额的100.00%。</w:t>
      </w:r>
    </w:p>
    <w:p w14:paraId="36B7A9EF">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（三）国有资产占用情况说明</w:t>
      </w:r>
    </w:p>
    <w:p w14:paraId="3EFEF5D0">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rPr>
        <w:t>截至2024年12月31日，房屋0.00平方米，价值0.00万元。</w:t>
      </w:r>
      <w:r>
        <w:rPr>
          <w:rFonts w:ascii="仿宋_GB2312" w:eastAsia="仿宋_GB2312"/>
          <w:sz w:val="32"/>
          <w:szCs w:val="32"/>
          <w:lang w:eastAsia="zh-CN"/>
        </w:rPr>
        <w:t>车辆1辆，价值12.40万元，其中：副部（省）级及以上领导用车0辆、主要负责人用车0辆、机要通信用车0辆、应急保障用车0辆、执法执勤用车0辆、特种专业技术用车0辆、离退休干部服务用车0辆、其他用车1辆，其他用车主要是：单位</w:t>
      </w:r>
      <w:r>
        <w:rPr>
          <w:rFonts w:hint="eastAsia" w:ascii="仿宋_GB2312" w:eastAsia="仿宋_GB2312"/>
          <w:sz w:val="32"/>
          <w:szCs w:val="32"/>
          <w:lang w:eastAsia="zh-CN"/>
        </w:rPr>
        <w:t>业务用车</w:t>
      </w:r>
      <w:r>
        <w:rPr>
          <w:rFonts w:ascii="仿宋_GB2312" w:eastAsia="仿宋_GB2312"/>
          <w:sz w:val="32"/>
          <w:szCs w:val="32"/>
          <w:lang w:eastAsia="zh-CN"/>
        </w:rPr>
        <w:t>;单价100万元（含）以上设备（不含车辆）0台（套）。</w:t>
      </w:r>
    </w:p>
    <w:p w14:paraId="56290B0C">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十一、预算绩效的情况说明</w:t>
      </w:r>
    </w:p>
    <w:p w14:paraId="7F99A711">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根据预算绩效管理要求，本单位2024年度预算绩效管理形成整体支出绩效自评表1个，全年预算总额359.51万元，实际执行总额354.82万元；预算绩效评价项目0个，全年预算数0.00万元，全年执行数0.00万元。预算绩效管理取得的成效：一是绩效“双监控”，预算执行过程中，以年度支出计划为基础，定期分析预算执行和绩效目标落实情况，并依托财政预算绩效管理平台分5月、8月对预算执行动态进行实时监控，发现问题及时纠偏，确保绩效目标落地落实；二是注重绩效目标编制，预算编制环节注重编细编实预算需求，科学选择绩效指标，合理设置绩效目标值，并严格按照财政统一要求，规范编制事前绩效报告，为财政资金发挥效益夯实基础。发现的问题及原因：一是我单位部分绩效指标设置存在不够精简、指标数据无法统计和指标值设置过低等问题；二是指标设置的科学性、合理性有待进一步提高。下一步改进措施：一是出台绩效管理制度，对绩效管理的目的、意义、性质和特点，以及组织实施绩效管理的程序、步骤、方法、原则和要求进行统一的规定</w:t>
      </w:r>
      <w:r>
        <w:rPr>
          <w:rFonts w:hint="eastAsia" w:ascii="仿宋_GB2312" w:eastAsia="仿宋_GB2312"/>
          <w:sz w:val="32"/>
          <w:szCs w:val="32"/>
          <w:lang w:eastAsia="zh-CN"/>
        </w:rPr>
        <w:t>；</w:t>
      </w:r>
      <w:r>
        <w:rPr>
          <w:rFonts w:ascii="仿宋_GB2312" w:eastAsia="仿宋_GB2312"/>
          <w:sz w:val="32"/>
          <w:szCs w:val="32"/>
          <w:lang w:eastAsia="zh-CN"/>
        </w:rPr>
        <w:t>二是合理设置年度任务。提高各处室对部门中长期规划的重视程度，增强相关规划的落地性、导向性。探索符合部门工作特点的评价指标体系。在设定绩效目标时选取相关性强的量化指标，并注重选取符合实际工作情况的指标值。具体附部门整体支出绩效自评表。</w:t>
      </w:r>
    </w:p>
    <w:p w14:paraId="6DDB0D29">
      <w:pPr>
        <w:rPr>
          <w:rFonts w:hint="eastAsia" w:ascii="宋体" w:hAnsi="宋体" w:eastAsia="宋体" w:cs="宋体"/>
          <w:b/>
          <w:bCs/>
          <w:sz w:val="18"/>
          <w:szCs w:val="18"/>
          <w:lang w:eastAsia="zh-CN"/>
        </w:rPr>
      </w:pPr>
      <w:bookmarkStart w:id="5" w:name="_Hlk174962300"/>
    </w:p>
    <w:p w14:paraId="0794D1D0">
      <w:pPr>
        <w:jc w:val="center"/>
        <w:rPr>
          <w:rFonts w:hint="eastAsia" w:ascii="宋体" w:hAnsi="宋体" w:eastAsia="宋体" w:cs="宋体"/>
          <w:b/>
          <w:bCs/>
          <w:sz w:val="28"/>
          <w:szCs w:val="28"/>
          <w:lang w:eastAsia="zh-CN"/>
        </w:rPr>
      </w:pPr>
      <w:r>
        <w:rPr>
          <w:rFonts w:hint="eastAsia" w:ascii="宋体" w:hAnsi="宋体" w:eastAsia="宋体" w:cs="宋体"/>
          <w:b/>
          <w:bCs/>
          <w:sz w:val="18"/>
          <w:szCs w:val="18"/>
          <w:lang w:eastAsia="zh-CN"/>
        </w:rPr>
        <w:br w:type="page"/>
      </w:r>
      <w:r>
        <w:rPr>
          <w:rFonts w:hint="eastAsia" w:ascii="宋体" w:hAnsi="宋体" w:eastAsia="宋体" w:cs="宋体"/>
          <w:b/>
          <w:bCs/>
          <w:sz w:val="28"/>
          <w:szCs w:val="28"/>
          <w:lang w:eastAsia="zh-CN"/>
        </w:rPr>
        <w:t>部门（单位）整体支出绩效目标自评表</w:t>
      </w:r>
    </w:p>
    <w:p w14:paraId="7341CC09">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2"/>
        <w:tblW w:w="9935" w:type="dxa"/>
        <w:tblInd w:w="-601" w:type="dxa"/>
        <w:tblLayout w:type="fixed"/>
        <w:tblCellMar>
          <w:top w:w="0" w:type="dxa"/>
          <w:left w:w="108" w:type="dxa"/>
          <w:bottom w:w="0" w:type="dxa"/>
          <w:right w:w="108" w:type="dxa"/>
        </w:tblCellMar>
      </w:tblPr>
      <w:tblGrid>
        <w:gridCol w:w="993"/>
        <w:gridCol w:w="1417"/>
        <w:gridCol w:w="1418"/>
        <w:gridCol w:w="1276"/>
        <w:gridCol w:w="1701"/>
        <w:gridCol w:w="1134"/>
        <w:gridCol w:w="992"/>
        <w:gridCol w:w="720"/>
        <w:gridCol w:w="284"/>
      </w:tblGrid>
      <w:tr w14:paraId="04F0BCA6">
        <w:tblPrEx>
          <w:tblCellMar>
            <w:top w:w="0" w:type="dxa"/>
            <w:left w:w="108" w:type="dxa"/>
            <w:bottom w:w="0" w:type="dxa"/>
            <w:right w:w="108" w:type="dxa"/>
          </w:tblCellMar>
        </w:tblPrEx>
        <w:trPr>
          <w:cantSplit/>
          <w:trHeight w:val="660"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3E3D6D4E">
            <w:pPr>
              <w:jc w:val="center"/>
              <w:rPr>
                <w:rFonts w:hint="eastAsia" w:ascii="宋体" w:hAnsi="宋体" w:eastAsia="宋体" w:cs="宋体"/>
                <w:b/>
                <w:bCs/>
                <w:sz w:val="18"/>
                <w:szCs w:val="18"/>
              </w:rPr>
            </w:pPr>
            <w:r>
              <w:rPr>
                <w:rFonts w:hint="eastAsia" w:ascii="宋体" w:hAnsi="宋体" w:eastAsia="宋体" w:cs="宋体"/>
                <w:b/>
                <w:bCs/>
                <w:sz w:val="18"/>
                <w:szCs w:val="18"/>
              </w:rPr>
              <w:t>部门（单位）名称</w:t>
            </w:r>
          </w:p>
        </w:tc>
        <w:tc>
          <w:tcPr>
            <w:tcW w:w="8658" w:type="dxa"/>
            <w:gridSpan w:val="7"/>
            <w:tcBorders>
              <w:top w:val="single" w:color="auto" w:sz="4" w:space="0"/>
              <w:left w:val="nil"/>
              <w:bottom w:val="single" w:color="auto" w:sz="4" w:space="0"/>
              <w:right w:val="single" w:color="auto" w:sz="4" w:space="0"/>
            </w:tcBorders>
            <w:noWrap/>
            <w:vAlign w:val="center"/>
          </w:tcPr>
          <w:p w14:paraId="559722E0">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中共乌鲁木齐市达坂城区委员会统一战线工作部</w:t>
            </w:r>
          </w:p>
        </w:tc>
        <w:tc>
          <w:tcPr>
            <w:tcW w:w="284" w:type="dxa"/>
            <w:tcBorders>
              <w:top w:val="nil"/>
              <w:left w:val="nil"/>
              <w:bottom w:val="nil"/>
              <w:right w:val="nil"/>
            </w:tcBorders>
            <w:noWrap/>
            <w:vAlign w:val="center"/>
          </w:tcPr>
          <w:p w14:paraId="2221C78A">
            <w:pPr>
              <w:rPr>
                <w:rFonts w:hint="eastAsia" w:ascii="宋体" w:hAnsi="宋体" w:eastAsia="宋体" w:cs="宋体"/>
                <w:b/>
                <w:bCs/>
                <w:sz w:val="18"/>
                <w:szCs w:val="18"/>
                <w:lang w:eastAsia="zh-CN"/>
              </w:rPr>
            </w:pPr>
          </w:p>
        </w:tc>
      </w:tr>
      <w:tr w14:paraId="1CBE9223">
        <w:tblPrEx>
          <w:tblCellMar>
            <w:top w:w="0" w:type="dxa"/>
            <w:left w:w="108" w:type="dxa"/>
            <w:bottom w:w="0" w:type="dxa"/>
            <w:right w:w="108" w:type="dxa"/>
          </w:tblCellMar>
        </w:tblPrEx>
        <w:trPr>
          <w:cantSplit/>
          <w:trHeight w:val="570"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2281D2AC">
            <w:pPr>
              <w:jc w:val="center"/>
              <w:rPr>
                <w:rFonts w:hint="eastAsia" w:ascii="宋体" w:hAnsi="宋体" w:eastAsia="宋体" w:cs="宋体"/>
                <w:b/>
                <w:bCs/>
                <w:sz w:val="18"/>
                <w:szCs w:val="18"/>
              </w:rPr>
            </w:pPr>
            <w:r>
              <w:rPr>
                <w:rFonts w:hint="eastAsia" w:ascii="宋体" w:hAnsi="宋体" w:eastAsia="宋体" w:cs="宋体"/>
                <w:b/>
                <w:bCs/>
                <w:sz w:val="18"/>
                <w:szCs w:val="18"/>
              </w:rPr>
              <w:t>部门资金（万元）</w:t>
            </w:r>
          </w:p>
        </w:tc>
        <w:tc>
          <w:tcPr>
            <w:tcW w:w="1417" w:type="dxa"/>
            <w:tcBorders>
              <w:top w:val="nil"/>
              <w:left w:val="nil"/>
              <w:bottom w:val="single" w:color="auto" w:sz="4" w:space="0"/>
              <w:right w:val="single" w:color="auto" w:sz="4" w:space="0"/>
            </w:tcBorders>
            <w:vAlign w:val="center"/>
          </w:tcPr>
          <w:p w14:paraId="697BC3F5">
            <w:pPr>
              <w:jc w:val="center"/>
              <w:rPr>
                <w:rFonts w:hint="eastAsia" w:ascii="宋体" w:hAnsi="宋体" w:eastAsia="宋体" w:cs="宋体"/>
                <w:b/>
                <w:bCs/>
                <w:sz w:val="18"/>
                <w:szCs w:val="18"/>
              </w:rPr>
            </w:pPr>
            <w:r>
              <w:rPr>
                <w:rFonts w:hint="eastAsia" w:ascii="宋体" w:hAnsi="宋体" w:eastAsia="宋体" w:cs="宋体"/>
                <w:b/>
                <w:bCs/>
                <w:sz w:val="18"/>
                <w:szCs w:val="18"/>
              </w:rPr>
              <w:t>资金来源</w:t>
            </w:r>
          </w:p>
        </w:tc>
        <w:tc>
          <w:tcPr>
            <w:tcW w:w="1418" w:type="dxa"/>
            <w:tcBorders>
              <w:top w:val="nil"/>
              <w:left w:val="nil"/>
              <w:bottom w:val="single" w:color="auto" w:sz="4" w:space="0"/>
              <w:right w:val="single" w:color="auto" w:sz="4" w:space="0"/>
            </w:tcBorders>
            <w:vAlign w:val="center"/>
          </w:tcPr>
          <w:p w14:paraId="4C19860A">
            <w:pPr>
              <w:jc w:val="center"/>
              <w:rPr>
                <w:rFonts w:hint="eastAsia" w:ascii="宋体" w:hAnsi="宋体" w:eastAsia="宋体" w:cs="宋体"/>
                <w:b/>
                <w:bCs/>
                <w:sz w:val="18"/>
                <w:szCs w:val="18"/>
              </w:rPr>
            </w:pPr>
            <w:r>
              <w:rPr>
                <w:rFonts w:hint="eastAsia" w:ascii="宋体" w:hAnsi="宋体" w:eastAsia="宋体" w:cs="宋体"/>
                <w:b/>
                <w:bCs/>
                <w:sz w:val="18"/>
                <w:szCs w:val="18"/>
              </w:rPr>
              <w:t>年初预算数</w:t>
            </w:r>
          </w:p>
        </w:tc>
        <w:tc>
          <w:tcPr>
            <w:tcW w:w="1276" w:type="dxa"/>
            <w:tcBorders>
              <w:top w:val="nil"/>
              <w:left w:val="nil"/>
              <w:bottom w:val="single" w:color="auto" w:sz="4" w:space="0"/>
              <w:right w:val="single" w:color="auto" w:sz="4" w:space="0"/>
            </w:tcBorders>
            <w:vAlign w:val="center"/>
          </w:tcPr>
          <w:p w14:paraId="0A380707">
            <w:pPr>
              <w:jc w:val="center"/>
              <w:rPr>
                <w:rFonts w:hint="eastAsia" w:ascii="宋体" w:hAnsi="宋体" w:eastAsia="宋体" w:cs="宋体"/>
                <w:b/>
                <w:bCs/>
                <w:sz w:val="18"/>
                <w:szCs w:val="18"/>
              </w:rPr>
            </w:pPr>
            <w:r>
              <w:rPr>
                <w:rFonts w:hint="eastAsia" w:ascii="宋体" w:hAnsi="宋体" w:eastAsia="宋体" w:cs="宋体"/>
                <w:b/>
                <w:bCs/>
                <w:sz w:val="18"/>
                <w:szCs w:val="18"/>
              </w:rPr>
              <w:t>全年预算数</w:t>
            </w:r>
          </w:p>
        </w:tc>
        <w:tc>
          <w:tcPr>
            <w:tcW w:w="1701" w:type="dxa"/>
            <w:tcBorders>
              <w:top w:val="nil"/>
              <w:left w:val="nil"/>
              <w:bottom w:val="single" w:color="auto" w:sz="4" w:space="0"/>
              <w:right w:val="single" w:color="auto" w:sz="4" w:space="0"/>
            </w:tcBorders>
            <w:vAlign w:val="center"/>
          </w:tcPr>
          <w:p w14:paraId="22723F68">
            <w:pPr>
              <w:jc w:val="center"/>
              <w:rPr>
                <w:rFonts w:hint="eastAsia" w:ascii="宋体" w:hAnsi="宋体" w:eastAsia="宋体" w:cs="宋体"/>
                <w:b/>
                <w:bCs/>
                <w:sz w:val="18"/>
                <w:szCs w:val="18"/>
              </w:rPr>
            </w:pPr>
            <w:r>
              <w:rPr>
                <w:rFonts w:hint="eastAsia" w:ascii="宋体" w:hAnsi="宋体" w:eastAsia="宋体" w:cs="宋体"/>
                <w:b/>
                <w:bCs/>
                <w:sz w:val="18"/>
                <w:szCs w:val="18"/>
              </w:rPr>
              <w:t>全年执行数</w:t>
            </w:r>
          </w:p>
        </w:tc>
        <w:tc>
          <w:tcPr>
            <w:tcW w:w="1134" w:type="dxa"/>
            <w:tcBorders>
              <w:top w:val="nil"/>
              <w:left w:val="nil"/>
              <w:bottom w:val="single" w:color="auto" w:sz="4" w:space="0"/>
              <w:right w:val="single" w:color="auto" w:sz="4" w:space="0"/>
            </w:tcBorders>
            <w:vAlign w:val="center"/>
          </w:tcPr>
          <w:p w14:paraId="13F74489">
            <w:pPr>
              <w:jc w:val="center"/>
              <w:rPr>
                <w:rFonts w:hint="eastAsia" w:ascii="宋体" w:hAnsi="宋体" w:eastAsia="宋体" w:cs="宋体"/>
                <w:b/>
                <w:bCs/>
                <w:sz w:val="18"/>
                <w:szCs w:val="18"/>
              </w:rPr>
            </w:pPr>
            <w:r>
              <w:rPr>
                <w:rFonts w:hint="eastAsia" w:ascii="宋体" w:hAnsi="宋体" w:eastAsia="宋体" w:cs="宋体"/>
                <w:b/>
                <w:bCs/>
                <w:sz w:val="18"/>
                <w:szCs w:val="18"/>
              </w:rPr>
              <w:t>分值权重</w:t>
            </w:r>
          </w:p>
        </w:tc>
        <w:tc>
          <w:tcPr>
            <w:tcW w:w="992" w:type="dxa"/>
            <w:tcBorders>
              <w:top w:val="nil"/>
              <w:left w:val="nil"/>
              <w:bottom w:val="single" w:color="auto" w:sz="4" w:space="0"/>
              <w:right w:val="single" w:color="auto" w:sz="4" w:space="0"/>
            </w:tcBorders>
            <w:vAlign w:val="center"/>
          </w:tcPr>
          <w:p w14:paraId="100D07C0">
            <w:pPr>
              <w:jc w:val="center"/>
              <w:rPr>
                <w:rFonts w:hint="eastAsia" w:ascii="宋体" w:hAnsi="宋体" w:eastAsia="宋体" w:cs="宋体"/>
                <w:b/>
                <w:bCs/>
                <w:sz w:val="18"/>
                <w:szCs w:val="18"/>
              </w:rPr>
            </w:pPr>
            <w:r>
              <w:rPr>
                <w:rFonts w:hint="eastAsia" w:ascii="宋体" w:hAnsi="宋体" w:eastAsia="宋体" w:cs="宋体"/>
                <w:b/>
                <w:bCs/>
                <w:sz w:val="18"/>
                <w:szCs w:val="18"/>
              </w:rPr>
              <w:t>执行率</w:t>
            </w:r>
          </w:p>
        </w:tc>
        <w:tc>
          <w:tcPr>
            <w:tcW w:w="720" w:type="dxa"/>
            <w:tcBorders>
              <w:top w:val="nil"/>
              <w:left w:val="nil"/>
              <w:bottom w:val="single" w:color="auto" w:sz="4" w:space="0"/>
              <w:right w:val="single" w:color="auto" w:sz="4" w:space="0"/>
            </w:tcBorders>
            <w:vAlign w:val="center"/>
          </w:tcPr>
          <w:p w14:paraId="5EEF0B44">
            <w:pPr>
              <w:jc w:val="center"/>
              <w:rPr>
                <w:rFonts w:hint="eastAsia" w:ascii="宋体" w:hAnsi="宋体" w:eastAsia="宋体" w:cs="宋体"/>
                <w:b/>
                <w:bCs/>
                <w:sz w:val="18"/>
                <w:szCs w:val="18"/>
              </w:rPr>
            </w:pPr>
            <w:r>
              <w:rPr>
                <w:rFonts w:hint="eastAsia" w:ascii="宋体" w:hAnsi="宋体" w:eastAsia="宋体" w:cs="宋体"/>
                <w:b/>
                <w:bCs/>
                <w:sz w:val="18"/>
                <w:szCs w:val="18"/>
              </w:rPr>
              <w:t>得分</w:t>
            </w:r>
          </w:p>
        </w:tc>
        <w:tc>
          <w:tcPr>
            <w:tcW w:w="284" w:type="dxa"/>
            <w:tcBorders>
              <w:top w:val="nil"/>
              <w:left w:val="nil"/>
              <w:bottom w:val="nil"/>
              <w:right w:val="nil"/>
            </w:tcBorders>
            <w:noWrap/>
            <w:vAlign w:val="center"/>
          </w:tcPr>
          <w:p w14:paraId="13902A97">
            <w:pPr>
              <w:jc w:val="center"/>
              <w:rPr>
                <w:rFonts w:hint="eastAsia" w:ascii="宋体" w:hAnsi="宋体" w:eastAsia="宋体" w:cs="宋体"/>
                <w:b/>
                <w:bCs/>
                <w:sz w:val="18"/>
                <w:szCs w:val="18"/>
              </w:rPr>
            </w:pPr>
          </w:p>
        </w:tc>
      </w:tr>
      <w:tr w14:paraId="4A246D43">
        <w:tblPrEx>
          <w:tblCellMar>
            <w:top w:w="0" w:type="dxa"/>
            <w:left w:w="108" w:type="dxa"/>
            <w:bottom w:w="0" w:type="dxa"/>
            <w:right w:w="108" w:type="dxa"/>
          </w:tblCellMar>
        </w:tblPrEx>
        <w:trPr>
          <w:cantSplit/>
          <w:trHeight w:val="489"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55F913CB">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noWrap/>
            <w:vAlign w:val="center"/>
          </w:tcPr>
          <w:p w14:paraId="4F792CBC">
            <w:pPr>
              <w:jc w:val="center"/>
              <w:rPr>
                <w:rFonts w:hint="eastAsia" w:ascii="宋体" w:hAnsi="宋体" w:eastAsia="宋体" w:cs="宋体"/>
                <w:b/>
                <w:bCs/>
                <w:sz w:val="18"/>
                <w:szCs w:val="18"/>
              </w:rPr>
            </w:pPr>
            <w:r>
              <w:rPr>
                <w:rFonts w:hint="eastAsia" w:ascii="宋体" w:hAnsi="宋体" w:eastAsia="宋体" w:cs="宋体"/>
                <w:b/>
                <w:bCs/>
                <w:sz w:val="18"/>
                <w:szCs w:val="18"/>
              </w:rPr>
              <w:t>年度总资金</w:t>
            </w:r>
          </w:p>
        </w:tc>
        <w:tc>
          <w:tcPr>
            <w:tcW w:w="1418" w:type="dxa"/>
            <w:tcBorders>
              <w:top w:val="nil"/>
              <w:left w:val="nil"/>
              <w:bottom w:val="single" w:color="auto" w:sz="4" w:space="0"/>
              <w:right w:val="single" w:color="auto" w:sz="4" w:space="0"/>
            </w:tcBorders>
            <w:vAlign w:val="center"/>
          </w:tcPr>
          <w:p w14:paraId="76B607E7">
            <w:pPr>
              <w:jc w:val="center"/>
              <w:rPr>
                <w:rFonts w:hint="eastAsia" w:ascii="宋体" w:hAnsi="宋体" w:eastAsia="宋体" w:cs="宋体"/>
                <w:sz w:val="18"/>
                <w:szCs w:val="18"/>
              </w:rPr>
            </w:pPr>
            <w:r>
              <w:rPr>
                <w:rFonts w:hint="eastAsia" w:ascii="宋体" w:hAnsi="宋体" w:eastAsia="宋体" w:cs="宋体"/>
                <w:sz w:val="18"/>
                <w:szCs w:val="18"/>
              </w:rPr>
              <w:t>194.24</w:t>
            </w:r>
          </w:p>
        </w:tc>
        <w:tc>
          <w:tcPr>
            <w:tcW w:w="1276" w:type="dxa"/>
            <w:tcBorders>
              <w:top w:val="nil"/>
              <w:left w:val="nil"/>
              <w:bottom w:val="single" w:color="auto" w:sz="4" w:space="0"/>
              <w:right w:val="single" w:color="auto" w:sz="4" w:space="0"/>
            </w:tcBorders>
            <w:vAlign w:val="center"/>
          </w:tcPr>
          <w:p w14:paraId="405A206E">
            <w:pPr>
              <w:jc w:val="center"/>
              <w:rPr>
                <w:rFonts w:hint="eastAsia" w:ascii="宋体" w:hAnsi="宋体" w:eastAsia="宋体" w:cs="宋体"/>
                <w:sz w:val="18"/>
                <w:szCs w:val="18"/>
              </w:rPr>
            </w:pPr>
            <w:r>
              <w:rPr>
                <w:rFonts w:hint="eastAsia" w:ascii="宋体" w:hAnsi="宋体" w:eastAsia="宋体" w:cs="宋体"/>
                <w:sz w:val="18"/>
                <w:szCs w:val="18"/>
              </w:rPr>
              <w:t>359.51</w:t>
            </w:r>
          </w:p>
        </w:tc>
        <w:tc>
          <w:tcPr>
            <w:tcW w:w="1701" w:type="dxa"/>
            <w:tcBorders>
              <w:top w:val="nil"/>
              <w:left w:val="nil"/>
              <w:bottom w:val="single" w:color="auto" w:sz="4" w:space="0"/>
              <w:right w:val="single" w:color="auto" w:sz="4" w:space="0"/>
            </w:tcBorders>
            <w:vAlign w:val="center"/>
          </w:tcPr>
          <w:p w14:paraId="5C9AEB02">
            <w:pPr>
              <w:jc w:val="center"/>
              <w:rPr>
                <w:rFonts w:hint="eastAsia" w:ascii="宋体" w:hAnsi="宋体" w:eastAsia="宋体" w:cs="宋体"/>
                <w:sz w:val="18"/>
                <w:szCs w:val="18"/>
              </w:rPr>
            </w:pPr>
            <w:r>
              <w:rPr>
                <w:rFonts w:hint="eastAsia" w:ascii="宋体" w:hAnsi="宋体" w:eastAsia="宋体" w:cs="宋体"/>
                <w:sz w:val="18"/>
                <w:szCs w:val="18"/>
              </w:rPr>
              <w:t>354.82</w:t>
            </w:r>
          </w:p>
        </w:tc>
        <w:tc>
          <w:tcPr>
            <w:tcW w:w="1134" w:type="dxa"/>
            <w:tcBorders>
              <w:top w:val="nil"/>
              <w:left w:val="nil"/>
              <w:bottom w:val="single" w:color="auto" w:sz="4" w:space="0"/>
              <w:right w:val="single" w:color="auto" w:sz="4" w:space="0"/>
            </w:tcBorders>
            <w:vAlign w:val="center"/>
          </w:tcPr>
          <w:p w14:paraId="3E369DC5">
            <w:pPr>
              <w:jc w:val="center"/>
              <w:rPr>
                <w:rFonts w:hint="eastAsia" w:ascii="宋体" w:hAnsi="宋体" w:eastAsia="宋体" w:cs="宋体"/>
                <w:sz w:val="18"/>
                <w:szCs w:val="18"/>
              </w:rPr>
            </w:pPr>
            <w:r>
              <w:rPr>
                <w:rFonts w:hint="eastAsia" w:ascii="宋体" w:hAnsi="宋体" w:eastAsia="宋体" w:cs="宋体"/>
                <w:sz w:val="18"/>
                <w:szCs w:val="18"/>
              </w:rPr>
              <w:t>10</w:t>
            </w:r>
          </w:p>
        </w:tc>
        <w:tc>
          <w:tcPr>
            <w:tcW w:w="992" w:type="dxa"/>
            <w:tcBorders>
              <w:top w:val="nil"/>
              <w:left w:val="nil"/>
              <w:bottom w:val="single" w:color="auto" w:sz="4" w:space="0"/>
              <w:right w:val="single" w:color="auto" w:sz="4" w:space="0"/>
            </w:tcBorders>
            <w:vAlign w:val="center"/>
          </w:tcPr>
          <w:p w14:paraId="504F5393">
            <w:pPr>
              <w:jc w:val="center"/>
              <w:rPr>
                <w:rFonts w:hint="eastAsia" w:ascii="宋体" w:hAnsi="宋体" w:eastAsia="宋体" w:cs="宋体"/>
                <w:sz w:val="18"/>
                <w:szCs w:val="18"/>
              </w:rPr>
            </w:pPr>
            <w:r>
              <w:rPr>
                <w:rFonts w:hint="eastAsia" w:ascii="宋体" w:hAnsi="宋体" w:eastAsia="宋体" w:cs="宋体"/>
                <w:sz w:val="18"/>
                <w:szCs w:val="18"/>
              </w:rPr>
              <w:t>98.7%</w:t>
            </w:r>
          </w:p>
        </w:tc>
        <w:tc>
          <w:tcPr>
            <w:tcW w:w="720" w:type="dxa"/>
            <w:tcBorders>
              <w:top w:val="nil"/>
              <w:left w:val="nil"/>
              <w:bottom w:val="single" w:color="auto" w:sz="4" w:space="0"/>
              <w:right w:val="single" w:color="auto" w:sz="4" w:space="0"/>
            </w:tcBorders>
            <w:vAlign w:val="center"/>
          </w:tcPr>
          <w:p w14:paraId="0E461369">
            <w:pPr>
              <w:jc w:val="center"/>
              <w:rPr>
                <w:rFonts w:hint="eastAsia" w:ascii="宋体" w:hAnsi="宋体" w:eastAsia="宋体" w:cs="宋体"/>
                <w:sz w:val="18"/>
                <w:szCs w:val="18"/>
              </w:rPr>
            </w:pPr>
            <w:r>
              <w:rPr>
                <w:rFonts w:hint="eastAsia" w:ascii="宋体" w:hAnsi="宋体" w:eastAsia="宋体" w:cs="宋体"/>
                <w:sz w:val="18"/>
                <w:szCs w:val="18"/>
              </w:rPr>
              <w:t>9.87</w:t>
            </w:r>
          </w:p>
        </w:tc>
        <w:tc>
          <w:tcPr>
            <w:tcW w:w="284" w:type="dxa"/>
            <w:tcBorders>
              <w:top w:val="nil"/>
              <w:left w:val="nil"/>
              <w:bottom w:val="nil"/>
              <w:right w:val="nil"/>
            </w:tcBorders>
            <w:noWrap/>
            <w:vAlign w:val="center"/>
          </w:tcPr>
          <w:p w14:paraId="316350ED">
            <w:pPr>
              <w:jc w:val="center"/>
              <w:rPr>
                <w:rFonts w:hint="eastAsia" w:ascii="宋体" w:hAnsi="宋体" w:eastAsia="宋体" w:cs="宋体"/>
                <w:b/>
                <w:bCs/>
                <w:sz w:val="18"/>
                <w:szCs w:val="18"/>
              </w:rPr>
            </w:pPr>
          </w:p>
        </w:tc>
      </w:tr>
      <w:tr w14:paraId="606D9708">
        <w:tblPrEx>
          <w:tblCellMar>
            <w:top w:w="0" w:type="dxa"/>
            <w:left w:w="108" w:type="dxa"/>
            <w:bottom w:w="0" w:type="dxa"/>
            <w:right w:w="108" w:type="dxa"/>
          </w:tblCellMar>
        </w:tblPrEx>
        <w:trPr>
          <w:cantSplit/>
          <w:trHeight w:val="42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72808305">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472F554C">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其中:上级资金（万元）</w:t>
            </w:r>
          </w:p>
        </w:tc>
        <w:tc>
          <w:tcPr>
            <w:tcW w:w="1418" w:type="dxa"/>
            <w:tcBorders>
              <w:top w:val="nil"/>
              <w:left w:val="nil"/>
              <w:bottom w:val="single" w:color="auto" w:sz="4" w:space="0"/>
              <w:right w:val="single" w:color="auto" w:sz="4" w:space="0"/>
            </w:tcBorders>
            <w:vAlign w:val="center"/>
          </w:tcPr>
          <w:p w14:paraId="7DE80F76">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276" w:type="dxa"/>
            <w:tcBorders>
              <w:top w:val="nil"/>
              <w:left w:val="nil"/>
              <w:bottom w:val="single" w:color="auto" w:sz="4" w:space="0"/>
              <w:right w:val="single" w:color="auto" w:sz="4" w:space="0"/>
            </w:tcBorders>
            <w:vAlign w:val="center"/>
          </w:tcPr>
          <w:p w14:paraId="4AA60D50">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701" w:type="dxa"/>
            <w:tcBorders>
              <w:top w:val="nil"/>
              <w:left w:val="nil"/>
              <w:bottom w:val="single" w:color="auto" w:sz="4" w:space="0"/>
              <w:right w:val="single" w:color="auto" w:sz="4" w:space="0"/>
            </w:tcBorders>
            <w:vAlign w:val="center"/>
          </w:tcPr>
          <w:p w14:paraId="5F59A22F">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134" w:type="dxa"/>
            <w:tcBorders>
              <w:top w:val="nil"/>
              <w:left w:val="nil"/>
              <w:bottom w:val="single" w:color="auto" w:sz="4" w:space="0"/>
              <w:right w:val="single" w:color="auto" w:sz="4" w:space="0"/>
            </w:tcBorders>
            <w:vAlign w:val="center"/>
          </w:tcPr>
          <w:p w14:paraId="0CAFC30A">
            <w:pPr>
              <w:jc w:val="center"/>
              <w:rPr>
                <w:rFonts w:hint="eastAsia" w:ascii="宋体" w:hAnsi="宋体" w:eastAsia="宋体" w:cs="宋体"/>
                <w:sz w:val="18"/>
                <w:szCs w:val="18"/>
              </w:rPr>
            </w:pPr>
            <w:r>
              <w:rPr>
                <w:rFonts w:hint="eastAsia" w:ascii="宋体" w:hAnsi="宋体" w:eastAsia="宋体"/>
                <w:sz w:val="18"/>
                <w:szCs w:val="18"/>
              </w:rPr>
              <w:t>-</w:t>
            </w:r>
          </w:p>
        </w:tc>
        <w:tc>
          <w:tcPr>
            <w:tcW w:w="992" w:type="dxa"/>
            <w:tcBorders>
              <w:top w:val="nil"/>
              <w:left w:val="nil"/>
              <w:bottom w:val="single" w:color="auto" w:sz="4" w:space="0"/>
              <w:right w:val="single" w:color="auto" w:sz="4" w:space="0"/>
            </w:tcBorders>
            <w:vAlign w:val="center"/>
          </w:tcPr>
          <w:p w14:paraId="4DDA0191">
            <w:pPr>
              <w:jc w:val="center"/>
              <w:rPr>
                <w:rFonts w:hint="eastAsia" w:ascii="宋体" w:hAnsi="宋体" w:eastAsia="宋体" w:cs="宋体"/>
                <w:sz w:val="18"/>
                <w:szCs w:val="18"/>
              </w:rPr>
            </w:pPr>
            <w:r>
              <w:rPr>
                <w:rFonts w:hint="eastAsia" w:ascii="宋体" w:hAnsi="宋体" w:eastAsia="宋体"/>
                <w:sz w:val="18"/>
                <w:szCs w:val="18"/>
              </w:rPr>
              <w:t>-</w:t>
            </w:r>
          </w:p>
        </w:tc>
        <w:tc>
          <w:tcPr>
            <w:tcW w:w="720" w:type="dxa"/>
            <w:tcBorders>
              <w:top w:val="nil"/>
              <w:left w:val="nil"/>
              <w:bottom w:val="single" w:color="auto" w:sz="4" w:space="0"/>
              <w:right w:val="single" w:color="auto" w:sz="4" w:space="0"/>
            </w:tcBorders>
            <w:vAlign w:val="center"/>
          </w:tcPr>
          <w:p w14:paraId="3F7AF496">
            <w:pPr>
              <w:jc w:val="center"/>
              <w:rPr>
                <w:rFonts w:hint="eastAsia" w:ascii="宋体" w:hAnsi="宋体" w:eastAsia="宋体" w:cs="宋体"/>
                <w:sz w:val="18"/>
                <w:szCs w:val="18"/>
              </w:rPr>
            </w:pPr>
            <w:r>
              <w:rPr>
                <w:rFonts w:hint="eastAsia" w:ascii="宋体" w:hAnsi="宋体" w:eastAsia="宋体"/>
                <w:sz w:val="18"/>
                <w:szCs w:val="18"/>
              </w:rPr>
              <w:t>-</w:t>
            </w:r>
          </w:p>
        </w:tc>
        <w:tc>
          <w:tcPr>
            <w:tcW w:w="284" w:type="dxa"/>
            <w:tcBorders>
              <w:top w:val="nil"/>
              <w:left w:val="nil"/>
              <w:bottom w:val="nil"/>
              <w:right w:val="nil"/>
            </w:tcBorders>
            <w:noWrap/>
            <w:vAlign w:val="center"/>
          </w:tcPr>
          <w:p w14:paraId="6B060152">
            <w:pPr>
              <w:jc w:val="center"/>
              <w:rPr>
                <w:rFonts w:hint="eastAsia" w:ascii="宋体" w:hAnsi="宋体" w:eastAsia="宋体" w:cs="宋体"/>
                <w:sz w:val="18"/>
                <w:szCs w:val="18"/>
              </w:rPr>
            </w:pPr>
          </w:p>
        </w:tc>
      </w:tr>
      <w:tr w14:paraId="6A3EDA46">
        <w:tblPrEx>
          <w:tblCellMar>
            <w:top w:w="0" w:type="dxa"/>
            <w:left w:w="108" w:type="dxa"/>
            <w:bottom w:w="0" w:type="dxa"/>
            <w:right w:w="108" w:type="dxa"/>
          </w:tblCellMar>
        </w:tblPrEx>
        <w:trPr>
          <w:cantSplit/>
          <w:trHeight w:val="281"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6747EBA4">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4D27D555">
            <w:pPr>
              <w:jc w:val="center"/>
              <w:rPr>
                <w:rFonts w:hint="eastAsia" w:ascii="宋体" w:hAnsi="宋体" w:eastAsia="宋体" w:cs="宋体"/>
                <w:b/>
                <w:bCs/>
                <w:sz w:val="18"/>
                <w:szCs w:val="18"/>
              </w:rPr>
            </w:pPr>
            <w:r>
              <w:rPr>
                <w:rFonts w:hint="eastAsia" w:ascii="宋体" w:hAnsi="宋体" w:eastAsia="宋体" w:cs="宋体"/>
                <w:b/>
                <w:bCs/>
                <w:sz w:val="18"/>
                <w:szCs w:val="18"/>
              </w:rPr>
              <w:t>本级资金（万元）</w:t>
            </w:r>
          </w:p>
        </w:tc>
        <w:tc>
          <w:tcPr>
            <w:tcW w:w="1418" w:type="dxa"/>
            <w:tcBorders>
              <w:top w:val="nil"/>
              <w:left w:val="nil"/>
              <w:bottom w:val="single" w:color="auto" w:sz="4" w:space="0"/>
              <w:right w:val="single" w:color="auto" w:sz="4" w:space="0"/>
            </w:tcBorders>
            <w:vAlign w:val="center"/>
          </w:tcPr>
          <w:p w14:paraId="0C300728">
            <w:pPr>
              <w:jc w:val="center"/>
              <w:rPr>
                <w:rFonts w:hint="eastAsia" w:ascii="宋体" w:hAnsi="宋体" w:eastAsia="宋体" w:cs="宋体"/>
                <w:sz w:val="18"/>
                <w:szCs w:val="18"/>
              </w:rPr>
            </w:pPr>
            <w:r>
              <w:rPr>
                <w:rFonts w:hint="eastAsia" w:ascii="宋体" w:hAnsi="宋体" w:eastAsia="宋体" w:cs="宋体"/>
                <w:sz w:val="18"/>
                <w:szCs w:val="18"/>
              </w:rPr>
              <w:t>194.24</w:t>
            </w:r>
          </w:p>
        </w:tc>
        <w:tc>
          <w:tcPr>
            <w:tcW w:w="1276" w:type="dxa"/>
            <w:tcBorders>
              <w:top w:val="nil"/>
              <w:left w:val="nil"/>
              <w:bottom w:val="single" w:color="auto" w:sz="4" w:space="0"/>
              <w:right w:val="single" w:color="auto" w:sz="4" w:space="0"/>
            </w:tcBorders>
            <w:vAlign w:val="center"/>
          </w:tcPr>
          <w:p w14:paraId="298F44E0">
            <w:pPr>
              <w:jc w:val="center"/>
              <w:rPr>
                <w:rFonts w:hint="eastAsia" w:ascii="宋体" w:hAnsi="宋体" w:eastAsia="宋体" w:cs="宋体"/>
                <w:sz w:val="18"/>
                <w:szCs w:val="18"/>
              </w:rPr>
            </w:pPr>
            <w:r>
              <w:rPr>
                <w:rFonts w:hint="eastAsia" w:ascii="宋体" w:hAnsi="宋体" w:eastAsia="宋体" w:cs="宋体"/>
                <w:sz w:val="18"/>
                <w:szCs w:val="18"/>
              </w:rPr>
              <w:t>359.51</w:t>
            </w:r>
          </w:p>
        </w:tc>
        <w:tc>
          <w:tcPr>
            <w:tcW w:w="1701" w:type="dxa"/>
            <w:tcBorders>
              <w:top w:val="nil"/>
              <w:left w:val="nil"/>
              <w:bottom w:val="single" w:color="auto" w:sz="4" w:space="0"/>
              <w:right w:val="single" w:color="auto" w:sz="4" w:space="0"/>
            </w:tcBorders>
            <w:vAlign w:val="center"/>
          </w:tcPr>
          <w:p w14:paraId="785219D1">
            <w:pPr>
              <w:jc w:val="center"/>
              <w:rPr>
                <w:rFonts w:hint="eastAsia" w:ascii="宋体" w:hAnsi="宋体" w:eastAsia="宋体" w:cs="宋体"/>
                <w:sz w:val="18"/>
                <w:szCs w:val="18"/>
              </w:rPr>
            </w:pPr>
            <w:r>
              <w:rPr>
                <w:rFonts w:hint="eastAsia" w:ascii="宋体" w:hAnsi="宋体" w:eastAsia="宋体" w:cs="宋体"/>
                <w:sz w:val="18"/>
                <w:szCs w:val="18"/>
              </w:rPr>
              <w:t>354.82</w:t>
            </w:r>
          </w:p>
        </w:tc>
        <w:tc>
          <w:tcPr>
            <w:tcW w:w="1134" w:type="dxa"/>
            <w:tcBorders>
              <w:top w:val="nil"/>
              <w:left w:val="nil"/>
              <w:bottom w:val="single" w:color="auto" w:sz="4" w:space="0"/>
              <w:right w:val="single" w:color="auto" w:sz="4" w:space="0"/>
            </w:tcBorders>
            <w:vAlign w:val="center"/>
          </w:tcPr>
          <w:p w14:paraId="00B55BF8">
            <w:pPr>
              <w:jc w:val="center"/>
              <w:rPr>
                <w:rFonts w:hint="eastAsia" w:ascii="宋体" w:hAnsi="宋体" w:eastAsia="宋体" w:cs="宋体"/>
                <w:sz w:val="18"/>
                <w:szCs w:val="18"/>
              </w:rPr>
            </w:pPr>
            <w:r>
              <w:rPr>
                <w:rFonts w:hint="eastAsia" w:ascii="宋体" w:hAnsi="宋体" w:eastAsia="宋体"/>
                <w:sz w:val="18"/>
                <w:szCs w:val="18"/>
              </w:rPr>
              <w:t>-</w:t>
            </w:r>
          </w:p>
        </w:tc>
        <w:tc>
          <w:tcPr>
            <w:tcW w:w="992" w:type="dxa"/>
            <w:tcBorders>
              <w:top w:val="nil"/>
              <w:left w:val="nil"/>
              <w:bottom w:val="single" w:color="auto" w:sz="4" w:space="0"/>
              <w:right w:val="single" w:color="auto" w:sz="4" w:space="0"/>
            </w:tcBorders>
            <w:vAlign w:val="center"/>
          </w:tcPr>
          <w:p w14:paraId="4895E214">
            <w:pPr>
              <w:jc w:val="center"/>
              <w:rPr>
                <w:rFonts w:hint="eastAsia" w:ascii="宋体" w:hAnsi="宋体" w:eastAsia="宋体" w:cs="宋体"/>
                <w:sz w:val="18"/>
                <w:szCs w:val="18"/>
              </w:rPr>
            </w:pPr>
            <w:r>
              <w:rPr>
                <w:rFonts w:hint="eastAsia" w:ascii="宋体" w:hAnsi="宋体" w:eastAsia="宋体"/>
                <w:sz w:val="18"/>
                <w:szCs w:val="18"/>
              </w:rPr>
              <w:t>-</w:t>
            </w:r>
          </w:p>
        </w:tc>
        <w:tc>
          <w:tcPr>
            <w:tcW w:w="720" w:type="dxa"/>
            <w:tcBorders>
              <w:top w:val="nil"/>
              <w:left w:val="nil"/>
              <w:bottom w:val="single" w:color="auto" w:sz="4" w:space="0"/>
              <w:right w:val="single" w:color="auto" w:sz="4" w:space="0"/>
            </w:tcBorders>
            <w:vAlign w:val="center"/>
          </w:tcPr>
          <w:p w14:paraId="390F00D2">
            <w:pPr>
              <w:jc w:val="center"/>
              <w:rPr>
                <w:rFonts w:hint="eastAsia" w:ascii="宋体" w:hAnsi="宋体" w:eastAsia="宋体" w:cs="宋体"/>
                <w:sz w:val="18"/>
                <w:szCs w:val="18"/>
              </w:rPr>
            </w:pPr>
            <w:r>
              <w:rPr>
                <w:rFonts w:hint="eastAsia" w:ascii="宋体" w:hAnsi="宋体" w:eastAsia="宋体"/>
                <w:sz w:val="18"/>
                <w:szCs w:val="18"/>
              </w:rPr>
              <w:t>-</w:t>
            </w:r>
          </w:p>
        </w:tc>
        <w:tc>
          <w:tcPr>
            <w:tcW w:w="284" w:type="dxa"/>
            <w:tcBorders>
              <w:top w:val="nil"/>
              <w:left w:val="nil"/>
              <w:bottom w:val="nil"/>
              <w:right w:val="nil"/>
            </w:tcBorders>
            <w:noWrap/>
            <w:vAlign w:val="center"/>
          </w:tcPr>
          <w:p w14:paraId="0F9F3848">
            <w:pPr>
              <w:jc w:val="center"/>
              <w:rPr>
                <w:rFonts w:hint="eastAsia" w:ascii="宋体" w:hAnsi="宋体" w:eastAsia="宋体" w:cs="宋体"/>
                <w:sz w:val="18"/>
                <w:szCs w:val="18"/>
              </w:rPr>
            </w:pPr>
          </w:p>
        </w:tc>
      </w:tr>
      <w:tr w14:paraId="08D85917">
        <w:tblPrEx>
          <w:tblCellMar>
            <w:top w:w="0" w:type="dxa"/>
            <w:left w:w="108" w:type="dxa"/>
            <w:bottom w:w="0" w:type="dxa"/>
            <w:right w:w="108" w:type="dxa"/>
          </w:tblCellMar>
        </w:tblPrEx>
        <w:trPr>
          <w:cantSplit/>
          <w:trHeight w:val="373"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0848B182">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67CE884A">
            <w:pPr>
              <w:jc w:val="center"/>
              <w:rPr>
                <w:rFonts w:hint="eastAsia" w:ascii="宋体" w:hAnsi="宋体" w:eastAsia="宋体" w:cs="宋体"/>
                <w:b/>
                <w:bCs/>
                <w:sz w:val="18"/>
                <w:szCs w:val="18"/>
              </w:rPr>
            </w:pPr>
            <w:r>
              <w:rPr>
                <w:rFonts w:hint="eastAsia" w:ascii="宋体" w:hAnsi="宋体" w:eastAsia="宋体" w:cs="宋体"/>
                <w:b/>
                <w:bCs/>
                <w:sz w:val="18"/>
                <w:szCs w:val="18"/>
              </w:rPr>
              <w:t>其他资金（万元）</w:t>
            </w:r>
          </w:p>
        </w:tc>
        <w:tc>
          <w:tcPr>
            <w:tcW w:w="1418" w:type="dxa"/>
            <w:tcBorders>
              <w:top w:val="nil"/>
              <w:left w:val="nil"/>
              <w:bottom w:val="single" w:color="auto" w:sz="4" w:space="0"/>
              <w:right w:val="single" w:color="auto" w:sz="4" w:space="0"/>
            </w:tcBorders>
            <w:vAlign w:val="center"/>
          </w:tcPr>
          <w:p w14:paraId="794F6455">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276" w:type="dxa"/>
            <w:tcBorders>
              <w:top w:val="nil"/>
              <w:left w:val="nil"/>
              <w:bottom w:val="single" w:color="auto" w:sz="4" w:space="0"/>
              <w:right w:val="single" w:color="auto" w:sz="4" w:space="0"/>
            </w:tcBorders>
            <w:vAlign w:val="center"/>
          </w:tcPr>
          <w:p w14:paraId="75C90ED5">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701" w:type="dxa"/>
            <w:tcBorders>
              <w:top w:val="nil"/>
              <w:left w:val="nil"/>
              <w:bottom w:val="single" w:color="auto" w:sz="4" w:space="0"/>
              <w:right w:val="single" w:color="auto" w:sz="4" w:space="0"/>
            </w:tcBorders>
            <w:vAlign w:val="center"/>
          </w:tcPr>
          <w:p w14:paraId="3D4AE842">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134" w:type="dxa"/>
            <w:tcBorders>
              <w:top w:val="nil"/>
              <w:left w:val="nil"/>
              <w:bottom w:val="single" w:color="auto" w:sz="4" w:space="0"/>
              <w:right w:val="single" w:color="auto" w:sz="4" w:space="0"/>
            </w:tcBorders>
            <w:vAlign w:val="center"/>
          </w:tcPr>
          <w:p w14:paraId="7DBCEE96">
            <w:pPr>
              <w:jc w:val="center"/>
              <w:rPr>
                <w:rFonts w:hint="eastAsia" w:ascii="宋体" w:hAnsi="宋体" w:eastAsia="宋体" w:cs="宋体"/>
                <w:sz w:val="18"/>
                <w:szCs w:val="18"/>
              </w:rPr>
            </w:pPr>
            <w:r>
              <w:rPr>
                <w:rFonts w:hint="eastAsia" w:ascii="宋体" w:hAnsi="宋体" w:eastAsia="宋体" w:cs="宋体"/>
                <w:sz w:val="18"/>
                <w:szCs w:val="18"/>
              </w:rPr>
              <w:t>-</w:t>
            </w:r>
          </w:p>
        </w:tc>
        <w:tc>
          <w:tcPr>
            <w:tcW w:w="992" w:type="dxa"/>
            <w:tcBorders>
              <w:top w:val="nil"/>
              <w:left w:val="nil"/>
              <w:bottom w:val="single" w:color="auto" w:sz="4" w:space="0"/>
              <w:right w:val="single" w:color="auto" w:sz="4" w:space="0"/>
            </w:tcBorders>
            <w:vAlign w:val="center"/>
          </w:tcPr>
          <w:p w14:paraId="5419DCB0">
            <w:pPr>
              <w:jc w:val="center"/>
              <w:rPr>
                <w:rFonts w:hint="eastAsia" w:ascii="宋体" w:hAnsi="宋体" w:eastAsia="宋体" w:cs="宋体"/>
                <w:sz w:val="18"/>
                <w:szCs w:val="18"/>
              </w:rPr>
            </w:pPr>
            <w:r>
              <w:rPr>
                <w:rFonts w:hint="eastAsia" w:ascii="宋体" w:hAnsi="宋体" w:eastAsia="宋体" w:cs="宋体"/>
                <w:sz w:val="18"/>
                <w:szCs w:val="18"/>
              </w:rPr>
              <w:t>-</w:t>
            </w:r>
          </w:p>
        </w:tc>
        <w:tc>
          <w:tcPr>
            <w:tcW w:w="720" w:type="dxa"/>
            <w:tcBorders>
              <w:top w:val="nil"/>
              <w:left w:val="nil"/>
              <w:bottom w:val="single" w:color="auto" w:sz="4" w:space="0"/>
              <w:right w:val="single" w:color="auto" w:sz="4" w:space="0"/>
            </w:tcBorders>
            <w:vAlign w:val="center"/>
          </w:tcPr>
          <w:p w14:paraId="7F3430DD">
            <w:pPr>
              <w:jc w:val="center"/>
              <w:rPr>
                <w:rFonts w:hint="eastAsia" w:ascii="宋体" w:hAnsi="宋体" w:eastAsia="宋体" w:cs="宋体"/>
                <w:sz w:val="18"/>
                <w:szCs w:val="18"/>
              </w:rPr>
            </w:pPr>
            <w:r>
              <w:rPr>
                <w:rFonts w:hint="eastAsia" w:ascii="宋体" w:hAnsi="宋体" w:eastAsia="宋体" w:cs="宋体"/>
                <w:sz w:val="18"/>
                <w:szCs w:val="18"/>
              </w:rPr>
              <w:t>-</w:t>
            </w:r>
          </w:p>
        </w:tc>
        <w:tc>
          <w:tcPr>
            <w:tcW w:w="284" w:type="dxa"/>
            <w:tcBorders>
              <w:top w:val="nil"/>
              <w:left w:val="nil"/>
              <w:bottom w:val="nil"/>
              <w:right w:val="nil"/>
            </w:tcBorders>
            <w:noWrap/>
            <w:vAlign w:val="center"/>
          </w:tcPr>
          <w:p w14:paraId="104381D4">
            <w:pPr>
              <w:jc w:val="center"/>
              <w:rPr>
                <w:rFonts w:hint="eastAsia" w:ascii="宋体" w:hAnsi="宋体" w:eastAsia="宋体" w:cs="宋体"/>
                <w:sz w:val="18"/>
                <w:szCs w:val="18"/>
              </w:rPr>
            </w:pPr>
          </w:p>
        </w:tc>
      </w:tr>
      <w:tr w14:paraId="078577EE">
        <w:tblPrEx>
          <w:tblCellMar>
            <w:top w:w="0" w:type="dxa"/>
            <w:left w:w="108" w:type="dxa"/>
            <w:bottom w:w="0" w:type="dxa"/>
            <w:right w:w="108" w:type="dxa"/>
          </w:tblCellMar>
        </w:tblPrEx>
        <w:trPr>
          <w:cantSplit/>
          <w:trHeight w:val="341"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6EDE8E3C">
            <w:pPr>
              <w:jc w:val="center"/>
              <w:rPr>
                <w:rFonts w:hint="eastAsia" w:ascii="宋体" w:hAnsi="宋体" w:eastAsia="宋体" w:cs="宋体"/>
                <w:b/>
                <w:bCs/>
                <w:sz w:val="18"/>
                <w:szCs w:val="18"/>
              </w:rPr>
            </w:pPr>
            <w:r>
              <w:rPr>
                <w:rFonts w:hint="eastAsia" w:ascii="宋体" w:hAnsi="宋体" w:eastAsia="宋体" w:cs="宋体"/>
                <w:b/>
                <w:bCs/>
                <w:sz w:val="18"/>
                <w:szCs w:val="18"/>
              </w:rPr>
              <w:t>年度总体目标</w:t>
            </w:r>
          </w:p>
        </w:tc>
        <w:tc>
          <w:tcPr>
            <w:tcW w:w="4111" w:type="dxa"/>
            <w:gridSpan w:val="3"/>
            <w:tcBorders>
              <w:top w:val="single" w:color="auto" w:sz="4" w:space="0"/>
              <w:left w:val="nil"/>
              <w:bottom w:val="single" w:color="auto" w:sz="4" w:space="0"/>
              <w:right w:val="single" w:color="auto" w:sz="4" w:space="0"/>
            </w:tcBorders>
            <w:noWrap/>
            <w:vAlign w:val="center"/>
          </w:tcPr>
          <w:p w14:paraId="6B038D8E">
            <w:pPr>
              <w:jc w:val="center"/>
              <w:rPr>
                <w:rFonts w:hint="eastAsia" w:ascii="宋体" w:hAnsi="宋体" w:eastAsia="宋体" w:cs="宋体"/>
                <w:b/>
                <w:bCs/>
                <w:sz w:val="18"/>
                <w:szCs w:val="18"/>
              </w:rPr>
            </w:pPr>
            <w:r>
              <w:rPr>
                <w:rFonts w:hint="eastAsia" w:ascii="宋体" w:hAnsi="宋体" w:eastAsia="宋体" w:cs="宋体"/>
                <w:b/>
                <w:bCs/>
                <w:sz w:val="18"/>
                <w:szCs w:val="18"/>
              </w:rPr>
              <w:t>预期目标</w:t>
            </w:r>
          </w:p>
        </w:tc>
        <w:tc>
          <w:tcPr>
            <w:tcW w:w="4547" w:type="dxa"/>
            <w:gridSpan w:val="4"/>
            <w:tcBorders>
              <w:top w:val="single" w:color="auto" w:sz="4" w:space="0"/>
              <w:left w:val="nil"/>
              <w:bottom w:val="single" w:color="auto" w:sz="4" w:space="0"/>
              <w:right w:val="single" w:color="auto" w:sz="4" w:space="0"/>
            </w:tcBorders>
            <w:noWrap/>
            <w:vAlign w:val="center"/>
          </w:tcPr>
          <w:p w14:paraId="025A60DF">
            <w:pPr>
              <w:jc w:val="center"/>
              <w:rPr>
                <w:rFonts w:hint="eastAsia" w:ascii="宋体" w:hAnsi="宋体" w:eastAsia="宋体" w:cs="宋体"/>
                <w:b/>
                <w:bCs/>
                <w:sz w:val="18"/>
                <w:szCs w:val="18"/>
              </w:rPr>
            </w:pPr>
            <w:r>
              <w:rPr>
                <w:rFonts w:hint="eastAsia" w:ascii="宋体" w:hAnsi="宋体" w:eastAsia="宋体" w:cs="宋体"/>
                <w:b/>
                <w:bCs/>
                <w:sz w:val="18"/>
                <w:szCs w:val="18"/>
              </w:rPr>
              <w:t>实际完成情况</w:t>
            </w:r>
          </w:p>
        </w:tc>
        <w:tc>
          <w:tcPr>
            <w:tcW w:w="284" w:type="dxa"/>
            <w:tcBorders>
              <w:top w:val="nil"/>
              <w:left w:val="nil"/>
              <w:bottom w:val="nil"/>
              <w:right w:val="nil"/>
            </w:tcBorders>
            <w:noWrap/>
            <w:vAlign w:val="center"/>
          </w:tcPr>
          <w:p w14:paraId="60430E39">
            <w:pPr>
              <w:rPr>
                <w:rFonts w:hint="eastAsia" w:ascii="宋体" w:hAnsi="宋体" w:eastAsia="宋体" w:cs="宋体"/>
                <w:b/>
                <w:bCs/>
                <w:sz w:val="18"/>
                <w:szCs w:val="18"/>
              </w:rPr>
            </w:pPr>
          </w:p>
        </w:tc>
      </w:tr>
      <w:tr w14:paraId="3DFC592C">
        <w:tblPrEx>
          <w:tblCellMar>
            <w:top w:w="0" w:type="dxa"/>
            <w:left w:w="108" w:type="dxa"/>
            <w:bottom w:w="0" w:type="dxa"/>
            <w:right w:w="108" w:type="dxa"/>
          </w:tblCellMar>
        </w:tblPrEx>
        <w:trPr>
          <w:cantSplit/>
          <w:trHeight w:val="70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26569A10">
            <w:pPr>
              <w:rPr>
                <w:rFonts w:hint="eastAsia" w:ascii="宋体" w:hAnsi="宋体" w:eastAsia="宋体" w:cs="宋体"/>
                <w:b/>
                <w:bCs/>
                <w:sz w:val="18"/>
                <w:szCs w:val="18"/>
              </w:rPr>
            </w:pPr>
          </w:p>
        </w:tc>
        <w:tc>
          <w:tcPr>
            <w:tcW w:w="4111" w:type="dxa"/>
            <w:gridSpan w:val="3"/>
            <w:tcBorders>
              <w:top w:val="single" w:color="auto" w:sz="4" w:space="0"/>
              <w:left w:val="nil"/>
              <w:bottom w:val="single" w:color="auto" w:sz="4" w:space="0"/>
              <w:right w:val="single" w:color="auto" w:sz="4" w:space="0"/>
            </w:tcBorders>
          </w:tcPr>
          <w:p w14:paraId="63611EEB">
            <w:pPr>
              <w:rPr>
                <w:rFonts w:hint="eastAsia" w:ascii="宋体" w:hAnsi="宋体" w:eastAsia="宋体" w:cs="宋体"/>
                <w:sz w:val="18"/>
                <w:szCs w:val="18"/>
                <w:lang w:eastAsia="zh-CN"/>
              </w:rPr>
            </w:pPr>
            <w:r>
              <w:rPr>
                <w:rFonts w:hint="eastAsia" w:ascii="宋体" w:hAnsi="宋体" w:eastAsia="宋体" w:cs="宋体"/>
                <w:sz w:val="18"/>
                <w:szCs w:val="18"/>
                <w:lang w:eastAsia="zh-CN"/>
              </w:rPr>
              <w:t>落实主体责任，旗帜鲜明加强党对统战、民族宗教工作的全面领导；强化政治引领，凝聚思想共识，不断提升统战工作效能；有形有感有效铸牢中华民族共同体意识；坚持我国宗教中国化方向，促进宗教健康发展；凝聚侨心，持续做好海外统战和侨务工作；扎实做好新的的社会阶层人士统战工作；持续做好非公有制经济工作；持续抓实统战干部队伍自身建设。</w:t>
            </w:r>
          </w:p>
        </w:tc>
        <w:tc>
          <w:tcPr>
            <w:tcW w:w="4547" w:type="dxa"/>
            <w:gridSpan w:val="4"/>
            <w:tcBorders>
              <w:top w:val="single" w:color="auto" w:sz="4" w:space="0"/>
              <w:left w:val="nil"/>
              <w:bottom w:val="single" w:color="auto" w:sz="4" w:space="0"/>
              <w:right w:val="single" w:color="auto" w:sz="4" w:space="0"/>
            </w:tcBorders>
          </w:tcPr>
          <w:p w14:paraId="1FEC05AC">
            <w:pPr>
              <w:rPr>
                <w:rFonts w:hint="eastAsia" w:ascii="宋体" w:hAnsi="宋体" w:eastAsia="宋体" w:cs="宋体"/>
                <w:sz w:val="18"/>
                <w:szCs w:val="18"/>
                <w:lang w:eastAsia="zh-CN"/>
              </w:rPr>
            </w:pPr>
            <w:r>
              <w:rPr>
                <w:rFonts w:hint="eastAsia" w:ascii="宋体" w:hAnsi="宋体" w:eastAsia="宋体" w:cs="宋体"/>
                <w:sz w:val="18"/>
                <w:szCs w:val="18"/>
                <w:lang w:eastAsia="zh-CN"/>
              </w:rPr>
              <w:t>已完成落实主体责任，旗帜鲜明加强党对统战、民族宗教工作的全面领导；已强化政治引领，凝聚思想共识，不断提升统战工作效能；有形有感有效铸牢中华民族共同体意识；坚持我国宗教中国化方向，促进宗教健康发展；凝聚侨心，持续做好海外统战和侨务工作；扎实做好新的的社会阶层人士统战工作；持续做好非公有制经济工作；持续抓实统战干部队伍自身建设。</w:t>
            </w:r>
          </w:p>
        </w:tc>
        <w:tc>
          <w:tcPr>
            <w:tcW w:w="284" w:type="dxa"/>
            <w:tcBorders>
              <w:top w:val="nil"/>
              <w:left w:val="nil"/>
              <w:bottom w:val="nil"/>
              <w:right w:val="nil"/>
            </w:tcBorders>
            <w:noWrap/>
            <w:vAlign w:val="center"/>
          </w:tcPr>
          <w:p w14:paraId="3CA26B54">
            <w:pPr>
              <w:rPr>
                <w:rFonts w:hint="eastAsia" w:ascii="宋体" w:hAnsi="宋体" w:eastAsia="宋体" w:cs="宋体"/>
                <w:sz w:val="18"/>
                <w:szCs w:val="18"/>
                <w:lang w:eastAsia="zh-CN"/>
              </w:rPr>
            </w:pPr>
          </w:p>
        </w:tc>
      </w:tr>
      <w:tr w14:paraId="710B0DB9">
        <w:tblPrEx>
          <w:tblCellMar>
            <w:top w:w="0" w:type="dxa"/>
            <w:left w:w="108" w:type="dxa"/>
            <w:bottom w:w="0" w:type="dxa"/>
            <w:right w:w="108" w:type="dxa"/>
          </w:tblCellMar>
        </w:tblPrEx>
        <w:trPr>
          <w:cantSplit/>
          <w:trHeight w:val="716" w:hRule="atLeast"/>
        </w:trPr>
        <w:tc>
          <w:tcPr>
            <w:tcW w:w="993" w:type="dxa"/>
            <w:tcBorders>
              <w:top w:val="single" w:color="auto" w:sz="4" w:space="0"/>
              <w:left w:val="single" w:color="auto" w:sz="4" w:space="0"/>
              <w:bottom w:val="single" w:color="auto" w:sz="4" w:space="0"/>
              <w:right w:val="single" w:color="auto" w:sz="4" w:space="0"/>
            </w:tcBorders>
            <w:vAlign w:val="center"/>
          </w:tcPr>
          <w:p w14:paraId="14F5B6CB">
            <w:pPr>
              <w:jc w:val="center"/>
              <w:rPr>
                <w:rFonts w:hint="eastAsia" w:ascii="宋体" w:hAnsi="宋体" w:eastAsia="宋体" w:cs="宋体"/>
                <w:b/>
                <w:bCs/>
                <w:sz w:val="18"/>
                <w:szCs w:val="18"/>
              </w:rPr>
            </w:pPr>
            <w:r>
              <w:rPr>
                <w:rFonts w:hint="eastAsia" w:ascii="宋体" w:hAnsi="宋体" w:eastAsia="宋体" w:cs="宋体"/>
                <w:b/>
                <w:bCs/>
                <w:sz w:val="18"/>
                <w:szCs w:val="18"/>
              </w:rPr>
              <w:t>一级指标</w:t>
            </w:r>
          </w:p>
        </w:tc>
        <w:tc>
          <w:tcPr>
            <w:tcW w:w="1417" w:type="dxa"/>
            <w:tcBorders>
              <w:top w:val="nil"/>
              <w:left w:val="nil"/>
              <w:bottom w:val="single" w:color="auto" w:sz="4" w:space="0"/>
              <w:right w:val="single" w:color="auto" w:sz="4" w:space="0"/>
            </w:tcBorders>
            <w:vAlign w:val="center"/>
          </w:tcPr>
          <w:p w14:paraId="31723A00">
            <w:pPr>
              <w:jc w:val="center"/>
              <w:rPr>
                <w:rFonts w:hint="eastAsia" w:ascii="宋体" w:hAnsi="宋体" w:eastAsia="宋体" w:cs="宋体"/>
                <w:b/>
                <w:bCs/>
                <w:sz w:val="18"/>
                <w:szCs w:val="18"/>
              </w:rPr>
            </w:pPr>
            <w:r>
              <w:rPr>
                <w:rFonts w:hint="eastAsia" w:ascii="宋体" w:hAnsi="宋体" w:eastAsia="宋体" w:cs="宋体"/>
                <w:b/>
                <w:bCs/>
                <w:sz w:val="18"/>
                <w:szCs w:val="18"/>
              </w:rPr>
              <w:t>二级指标</w:t>
            </w:r>
          </w:p>
        </w:tc>
        <w:tc>
          <w:tcPr>
            <w:tcW w:w="1418" w:type="dxa"/>
            <w:tcBorders>
              <w:top w:val="nil"/>
              <w:left w:val="nil"/>
              <w:bottom w:val="single" w:color="auto" w:sz="4" w:space="0"/>
              <w:right w:val="single" w:color="auto" w:sz="4" w:space="0"/>
            </w:tcBorders>
            <w:vAlign w:val="center"/>
          </w:tcPr>
          <w:p w14:paraId="0627EAF2">
            <w:pPr>
              <w:jc w:val="center"/>
              <w:rPr>
                <w:rFonts w:hint="eastAsia" w:ascii="宋体" w:hAnsi="宋体" w:eastAsia="宋体" w:cs="宋体"/>
                <w:b/>
                <w:bCs/>
                <w:sz w:val="18"/>
                <w:szCs w:val="18"/>
              </w:rPr>
            </w:pPr>
            <w:r>
              <w:rPr>
                <w:rFonts w:hint="eastAsia" w:ascii="宋体" w:hAnsi="宋体" w:eastAsia="宋体" w:cs="宋体"/>
                <w:b/>
                <w:bCs/>
                <w:sz w:val="18"/>
                <w:szCs w:val="18"/>
              </w:rPr>
              <w:t>三级指标</w:t>
            </w:r>
          </w:p>
        </w:tc>
        <w:tc>
          <w:tcPr>
            <w:tcW w:w="1276" w:type="dxa"/>
            <w:tcBorders>
              <w:top w:val="nil"/>
              <w:left w:val="nil"/>
              <w:bottom w:val="single" w:color="auto" w:sz="4" w:space="0"/>
              <w:right w:val="single" w:color="auto" w:sz="4" w:space="0"/>
            </w:tcBorders>
            <w:vAlign w:val="center"/>
          </w:tcPr>
          <w:p w14:paraId="446CEA54">
            <w:pPr>
              <w:jc w:val="center"/>
              <w:rPr>
                <w:rFonts w:hint="eastAsia" w:ascii="宋体" w:hAnsi="宋体" w:eastAsia="宋体" w:cs="宋体"/>
                <w:b/>
                <w:bCs/>
                <w:sz w:val="18"/>
                <w:szCs w:val="18"/>
              </w:rPr>
            </w:pPr>
            <w:r>
              <w:rPr>
                <w:rFonts w:hint="eastAsia" w:ascii="宋体" w:hAnsi="宋体" w:eastAsia="宋体" w:cs="宋体"/>
                <w:b/>
                <w:bCs/>
                <w:sz w:val="18"/>
                <w:szCs w:val="18"/>
              </w:rPr>
              <w:t>预期指标值</w:t>
            </w:r>
          </w:p>
        </w:tc>
        <w:tc>
          <w:tcPr>
            <w:tcW w:w="1701" w:type="dxa"/>
            <w:tcBorders>
              <w:top w:val="nil"/>
              <w:left w:val="nil"/>
              <w:bottom w:val="single" w:color="auto" w:sz="4" w:space="0"/>
              <w:right w:val="single" w:color="auto" w:sz="4" w:space="0"/>
            </w:tcBorders>
            <w:vAlign w:val="center"/>
          </w:tcPr>
          <w:p w14:paraId="21667CFF">
            <w:pPr>
              <w:jc w:val="center"/>
              <w:rPr>
                <w:rFonts w:hint="eastAsia" w:ascii="宋体" w:hAnsi="宋体" w:eastAsia="宋体" w:cs="宋体"/>
                <w:b/>
                <w:bCs/>
                <w:sz w:val="18"/>
                <w:szCs w:val="18"/>
              </w:rPr>
            </w:pPr>
            <w:r>
              <w:rPr>
                <w:rFonts w:hint="eastAsia" w:ascii="宋体" w:hAnsi="宋体" w:eastAsia="宋体" w:cs="宋体"/>
                <w:b/>
                <w:bCs/>
                <w:sz w:val="18"/>
                <w:szCs w:val="18"/>
              </w:rPr>
              <w:t>指标值设定依据</w:t>
            </w:r>
          </w:p>
        </w:tc>
        <w:tc>
          <w:tcPr>
            <w:tcW w:w="1134" w:type="dxa"/>
            <w:tcBorders>
              <w:top w:val="nil"/>
              <w:left w:val="nil"/>
              <w:bottom w:val="single" w:color="auto" w:sz="4" w:space="0"/>
              <w:right w:val="single" w:color="auto" w:sz="4" w:space="0"/>
            </w:tcBorders>
            <w:vAlign w:val="center"/>
          </w:tcPr>
          <w:p w14:paraId="73D60C5D">
            <w:pPr>
              <w:jc w:val="center"/>
              <w:rPr>
                <w:rFonts w:hint="eastAsia" w:ascii="宋体" w:hAnsi="宋体" w:eastAsia="宋体" w:cs="宋体"/>
                <w:b/>
                <w:bCs/>
                <w:sz w:val="18"/>
                <w:szCs w:val="18"/>
              </w:rPr>
            </w:pPr>
            <w:r>
              <w:rPr>
                <w:rFonts w:hint="eastAsia" w:ascii="宋体" w:hAnsi="宋体" w:eastAsia="宋体" w:cs="宋体"/>
                <w:b/>
                <w:bCs/>
                <w:sz w:val="18"/>
                <w:szCs w:val="18"/>
              </w:rPr>
              <w:t>实际完成指标值</w:t>
            </w:r>
          </w:p>
        </w:tc>
        <w:tc>
          <w:tcPr>
            <w:tcW w:w="992" w:type="dxa"/>
            <w:tcBorders>
              <w:top w:val="nil"/>
              <w:left w:val="nil"/>
              <w:bottom w:val="single" w:color="auto" w:sz="4" w:space="0"/>
              <w:right w:val="single" w:color="auto" w:sz="4" w:space="0"/>
            </w:tcBorders>
            <w:vAlign w:val="center"/>
          </w:tcPr>
          <w:p w14:paraId="75A541CB">
            <w:pPr>
              <w:jc w:val="center"/>
              <w:rPr>
                <w:rFonts w:hint="eastAsia" w:ascii="宋体" w:hAnsi="宋体" w:eastAsia="宋体" w:cs="宋体"/>
                <w:b/>
                <w:bCs/>
                <w:sz w:val="18"/>
                <w:szCs w:val="18"/>
              </w:rPr>
            </w:pPr>
            <w:r>
              <w:rPr>
                <w:rFonts w:hint="eastAsia" w:ascii="宋体" w:hAnsi="宋体" w:eastAsia="宋体" w:cs="宋体"/>
                <w:b/>
                <w:bCs/>
                <w:sz w:val="18"/>
                <w:szCs w:val="18"/>
              </w:rPr>
              <w:t>分值权重</w:t>
            </w:r>
          </w:p>
        </w:tc>
        <w:tc>
          <w:tcPr>
            <w:tcW w:w="720" w:type="dxa"/>
            <w:tcBorders>
              <w:top w:val="nil"/>
              <w:left w:val="nil"/>
              <w:bottom w:val="single" w:color="auto" w:sz="4" w:space="0"/>
              <w:right w:val="single" w:color="auto" w:sz="4" w:space="0"/>
            </w:tcBorders>
            <w:vAlign w:val="center"/>
          </w:tcPr>
          <w:p w14:paraId="5FDA0C3E">
            <w:pPr>
              <w:jc w:val="center"/>
              <w:rPr>
                <w:rFonts w:hint="eastAsia" w:ascii="宋体" w:hAnsi="宋体" w:eastAsia="宋体" w:cs="宋体"/>
                <w:b/>
                <w:bCs/>
                <w:sz w:val="18"/>
                <w:szCs w:val="18"/>
              </w:rPr>
            </w:pPr>
            <w:r>
              <w:rPr>
                <w:rFonts w:hint="eastAsia" w:ascii="宋体" w:hAnsi="宋体" w:eastAsia="宋体" w:cs="宋体"/>
                <w:b/>
                <w:bCs/>
                <w:sz w:val="18"/>
                <w:szCs w:val="18"/>
              </w:rPr>
              <w:t>得分</w:t>
            </w:r>
          </w:p>
        </w:tc>
        <w:tc>
          <w:tcPr>
            <w:tcW w:w="284" w:type="dxa"/>
            <w:tcBorders>
              <w:top w:val="nil"/>
              <w:left w:val="nil"/>
              <w:bottom w:val="nil"/>
              <w:right w:val="nil"/>
            </w:tcBorders>
            <w:noWrap/>
            <w:vAlign w:val="center"/>
          </w:tcPr>
          <w:p w14:paraId="4B149E55">
            <w:pPr>
              <w:rPr>
                <w:rFonts w:hint="eastAsia" w:ascii="宋体" w:hAnsi="宋体" w:eastAsia="宋体" w:cs="宋体"/>
                <w:b/>
                <w:bCs/>
                <w:sz w:val="18"/>
                <w:szCs w:val="18"/>
              </w:rPr>
            </w:pPr>
          </w:p>
        </w:tc>
      </w:tr>
      <w:tr w14:paraId="6092AF67">
        <w:tblPrEx>
          <w:tblCellMar>
            <w:top w:w="0" w:type="dxa"/>
            <w:left w:w="108" w:type="dxa"/>
            <w:bottom w:w="0" w:type="dxa"/>
            <w:right w:w="108" w:type="dxa"/>
          </w:tblCellMar>
        </w:tblPrEx>
        <w:trPr>
          <w:cantSplit/>
          <w:trHeight w:val="740" w:hRule="atLeast"/>
        </w:trPr>
        <w:tc>
          <w:tcPr>
            <w:tcW w:w="993" w:type="dxa"/>
            <w:vMerge w:val="restart"/>
            <w:tcBorders>
              <w:top w:val="single" w:color="auto" w:sz="4" w:space="0"/>
              <w:left w:val="single" w:color="auto" w:sz="4" w:space="0"/>
              <w:right w:val="single" w:color="auto" w:sz="4" w:space="0"/>
            </w:tcBorders>
            <w:noWrap/>
            <w:vAlign w:val="center"/>
          </w:tcPr>
          <w:p w14:paraId="501A7328">
            <w:pPr>
              <w:jc w:val="center"/>
              <w:rPr>
                <w:rFonts w:hint="eastAsia" w:ascii="宋体" w:hAnsi="宋体" w:eastAsia="宋体" w:cs="宋体"/>
                <w:sz w:val="18"/>
                <w:szCs w:val="18"/>
              </w:rPr>
            </w:pPr>
            <w:r>
              <w:rPr>
                <w:rFonts w:hint="eastAsia" w:ascii="宋体" w:hAnsi="宋体" w:eastAsia="宋体" w:cs="宋体"/>
                <w:sz w:val="18"/>
                <w:szCs w:val="18"/>
              </w:rPr>
              <w:t>履职效能</w:t>
            </w:r>
          </w:p>
        </w:tc>
        <w:tc>
          <w:tcPr>
            <w:tcW w:w="1417" w:type="dxa"/>
            <w:vMerge w:val="restart"/>
            <w:tcBorders>
              <w:top w:val="nil"/>
              <w:left w:val="nil"/>
              <w:right w:val="single" w:color="auto" w:sz="4" w:space="0"/>
            </w:tcBorders>
            <w:noWrap/>
            <w:vAlign w:val="center"/>
          </w:tcPr>
          <w:p w14:paraId="21C0B69A">
            <w:pPr>
              <w:jc w:val="center"/>
              <w:rPr>
                <w:rFonts w:hint="eastAsia" w:ascii="宋体" w:hAnsi="宋体" w:eastAsia="宋体" w:cs="宋体"/>
                <w:sz w:val="18"/>
                <w:szCs w:val="18"/>
              </w:rPr>
            </w:pPr>
            <w:r>
              <w:rPr>
                <w:rFonts w:hint="eastAsia" w:ascii="宋体" w:hAnsi="宋体" w:eastAsia="宋体" w:cs="宋体"/>
                <w:sz w:val="18"/>
                <w:szCs w:val="18"/>
              </w:rPr>
              <w:t>数量指标</w:t>
            </w:r>
          </w:p>
        </w:tc>
        <w:tc>
          <w:tcPr>
            <w:tcW w:w="1418" w:type="dxa"/>
            <w:tcBorders>
              <w:top w:val="nil"/>
              <w:left w:val="nil"/>
              <w:bottom w:val="single" w:color="auto" w:sz="4" w:space="0"/>
              <w:right w:val="single" w:color="auto" w:sz="4" w:space="0"/>
            </w:tcBorders>
            <w:noWrap/>
            <w:vAlign w:val="center"/>
          </w:tcPr>
          <w:p w14:paraId="7929E917">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稳步推进新疆伊斯兰教中国化</w:t>
            </w:r>
          </w:p>
        </w:tc>
        <w:tc>
          <w:tcPr>
            <w:tcW w:w="1276" w:type="dxa"/>
            <w:tcBorders>
              <w:top w:val="nil"/>
              <w:left w:val="nil"/>
              <w:bottom w:val="single" w:color="auto" w:sz="4" w:space="0"/>
              <w:right w:val="single" w:color="auto" w:sz="4" w:space="0"/>
            </w:tcBorders>
            <w:noWrap/>
            <w:vAlign w:val="center"/>
          </w:tcPr>
          <w:p w14:paraId="57E00B91">
            <w:pPr>
              <w:jc w:val="center"/>
              <w:rPr>
                <w:rFonts w:hint="eastAsia" w:ascii="宋体" w:hAnsi="宋体" w:eastAsia="宋体" w:cs="宋体"/>
                <w:sz w:val="18"/>
                <w:szCs w:val="18"/>
              </w:rPr>
            </w:pPr>
            <w:r>
              <w:rPr>
                <w:rFonts w:hint="eastAsia" w:ascii="宋体" w:hAnsi="宋体" w:eastAsia="宋体" w:cs="宋体"/>
                <w:sz w:val="18"/>
                <w:szCs w:val="18"/>
              </w:rPr>
              <w:t>&gt;=1</w:t>
            </w:r>
          </w:p>
        </w:tc>
        <w:tc>
          <w:tcPr>
            <w:tcW w:w="1701" w:type="dxa"/>
            <w:tcBorders>
              <w:top w:val="nil"/>
              <w:left w:val="nil"/>
              <w:bottom w:val="single" w:color="auto" w:sz="4" w:space="0"/>
              <w:right w:val="single" w:color="auto" w:sz="4" w:space="0"/>
            </w:tcBorders>
            <w:noWrap/>
            <w:vAlign w:val="center"/>
          </w:tcPr>
          <w:p w14:paraId="4928AF63">
            <w:pPr>
              <w:rPr>
                <w:rFonts w:hint="eastAsia" w:ascii="宋体" w:hAnsi="宋体" w:eastAsia="宋体" w:cs="宋体"/>
                <w:sz w:val="18"/>
                <w:szCs w:val="18"/>
              </w:rPr>
            </w:pPr>
            <w:r>
              <w:rPr>
                <w:rFonts w:hint="eastAsia" w:ascii="宋体" w:hAnsi="宋体" w:eastAsia="宋体" w:cs="宋体"/>
                <w:sz w:val="18"/>
                <w:szCs w:val="18"/>
              </w:rPr>
              <w:t>2024年工作计划</w:t>
            </w:r>
          </w:p>
        </w:tc>
        <w:tc>
          <w:tcPr>
            <w:tcW w:w="1134" w:type="dxa"/>
            <w:tcBorders>
              <w:top w:val="nil"/>
              <w:left w:val="nil"/>
              <w:bottom w:val="single" w:color="auto" w:sz="4" w:space="0"/>
              <w:right w:val="single" w:color="auto" w:sz="4" w:space="0"/>
            </w:tcBorders>
            <w:noWrap/>
            <w:vAlign w:val="center"/>
          </w:tcPr>
          <w:p w14:paraId="38DD5084">
            <w:pPr>
              <w:jc w:val="center"/>
              <w:rPr>
                <w:rFonts w:hint="eastAsia" w:ascii="宋体" w:hAnsi="宋体" w:eastAsia="宋体" w:cs="宋体"/>
                <w:sz w:val="18"/>
                <w:szCs w:val="18"/>
              </w:rPr>
            </w:pPr>
            <w:r>
              <w:rPr>
                <w:rFonts w:hint="eastAsia" w:ascii="宋体" w:hAnsi="宋体" w:eastAsia="宋体" w:cs="宋体"/>
                <w:sz w:val="18"/>
                <w:szCs w:val="18"/>
              </w:rPr>
              <w:tab/>
            </w:r>
            <w:r>
              <w:rPr>
                <w:rFonts w:hint="eastAsia" w:ascii="宋体" w:hAnsi="宋体" w:eastAsia="宋体" w:cs="宋体"/>
                <w:sz w:val="18"/>
                <w:szCs w:val="18"/>
              </w:rPr>
              <w:t>1</w:t>
            </w:r>
          </w:p>
        </w:tc>
        <w:tc>
          <w:tcPr>
            <w:tcW w:w="992" w:type="dxa"/>
            <w:tcBorders>
              <w:top w:val="nil"/>
              <w:left w:val="nil"/>
              <w:bottom w:val="single" w:color="auto" w:sz="4" w:space="0"/>
              <w:right w:val="single" w:color="auto" w:sz="4" w:space="0"/>
            </w:tcBorders>
            <w:noWrap/>
            <w:vAlign w:val="center"/>
          </w:tcPr>
          <w:p w14:paraId="1D66B2D8">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nil"/>
              <w:left w:val="nil"/>
              <w:bottom w:val="single" w:color="auto" w:sz="4" w:space="0"/>
              <w:right w:val="single" w:color="auto" w:sz="4" w:space="0"/>
            </w:tcBorders>
            <w:noWrap/>
            <w:vAlign w:val="center"/>
          </w:tcPr>
          <w:p w14:paraId="07E7C89C">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14:paraId="6207CEBA">
            <w:pPr>
              <w:jc w:val="center"/>
              <w:rPr>
                <w:rFonts w:hint="eastAsia" w:ascii="宋体" w:hAnsi="宋体" w:eastAsia="宋体" w:cs="宋体"/>
                <w:sz w:val="18"/>
                <w:szCs w:val="18"/>
              </w:rPr>
            </w:pPr>
          </w:p>
        </w:tc>
      </w:tr>
      <w:tr w14:paraId="357F150C">
        <w:tblPrEx>
          <w:tblCellMar>
            <w:top w:w="0" w:type="dxa"/>
            <w:left w:w="108" w:type="dxa"/>
            <w:bottom w:w="0" w:type="dxa"/>
            <w:right w:w="108" w:type="dxa"/>
          </w:tblCellMar>
        </w:tblPrEx>
        <w:trPr>
          <w:cantSplit/>
          <w:trHeight w:val="740" w:hRule="atLeast"/>
        </w:trPr>
        <w:tc>
          <w:tcPr>
            <w:tcW w:w="993" w:type="dxa"/>
            <w:vMerge w:val="continue"/>
            <w:tcBorders>
              <w:left w:val="single" w:color="auto" w:sz="4" w:space="0"/>
              <w:right w:val="single" w:color="auto" w:sz="4" w:space="0"/>
            </w:tcBorders>
            <w:noWrap/>
            <w:vAlign w:val="center"/>
          </w:tcPr>
          <w:p w14:paraId="765FE997">
            <w:pPr>
              <w:jc w:val="center"/>
              <w:rPr>
                <w:rFonts w:hint="eastAsia" w:ascii="宋体" w:hAnsi="宋体" w:eastAsia="宋体" w:cs="宋体"/>
                <w:sz w:val="18"/>
                <w:szCs w:val="18"/>
              </w:rPr>
            </w:pPr>
          </w:p>
        </w:tc>
        <w:tc>
          <w:tcPr>
            <w:tcW w:w="1417" w:type="dxa"/>
            <w:vMerge w:val="continue"/>
            <w:tcBorders>
              <w:left w:val="nil"/>
              <w:bottom w:val="single" w:color="auto" w:sz="4" w:space="0"/>
              <w:right w:val="single" w:color="auto" w:sz="4" w:space="0"/>
            </w:tcBorders>
            <w:noWrap/>
            <w:vAlign w:val="center"/>
          </w:tcPr>
          <w:p w14:paraId="58914AA1">
            <w:pPr>
              <w:jc w:val="center"/>
              <w:rPr>
                <w:rFonts w:hint="eastAsia" w:ascii="宋体" w:hAnsi="宋体" w:eastAsia="宋体" w:cs="宋体"/>
                <w:sz w:val="18"/>
                <w:szCs w:val="18"/>
              </w:rPr>
            </w:pPr>
          </w:p>
        </w:tc>
        <w:tc>
          <w:tcPr>
            <w:tcW w:w="1418" w:type="dxa"/>
            <w:tcBorders>
              <w:top w:val="nil"/>
              <w:left w:val="nil"/>
              <w:bottom w:val="single" w:color="auto" w:sz="4" w:space="0"/>
              <w:right w:val="single" w:color="auto" w:sz="4" w:space="0"/>
            </w:tcBorders>
            <w:noWrap/>
            <w:vAlign w:val="center"/>
          </w:tcPr>
          <w:p w14:paraId="58E8D73B">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有形有感有效铸牢中华民族共同体意识</w:t>
            </w:r>
          </w:p>
        </w:tc>
        <w:tc>
          <w:tcPr>
            <w:tcW w:w="1276" w:type="dxa"/>
            <w:tcBorders>
              <w:top w:val="nil"/>
              <w:left w:val="nil"/>
              <w:bottom w:val="single" w:color="auto" w:sz="4" w:space="0"/>
              <w:right w:val="single" w:color="auto" w:sz="4" w:space="0"/>
            </w:tcBorders>
            <w:noWrap/>
            <w:vAlign w:val="center"/>
          </w:tcPr>
          <w:p w14:paraId="7795DCFB">
            <w:pPr>
              <w:jc w:val="center"/>
              <w:rPr>
                <w:rFonts w:hint="eastAsia" w:ascii="宋体" w:hAnsi="宋体" w:eastAsia="宋体" w:cs="宋体"/>
                <w:sz w:val="18"/>
                <w:szCs w:val="18"/>
              </w:rPr>
            </w:pPr>
            <w:r>
              <w:rPr>
                <w:rFonts w:hint="eastAsia" w:ascii="宋体" w:hAnsi="宋体" w:eastAsia="宋体" w:cs="宋体"/>
                <w:sz w:val="18"/>
                <w:szCs w:val="18"/>
              </w:rPr>
              <w:t>&gt;=1</w:t>
            </w:r>
          </w:p>
        </w:tc>
        <w:tc>
          <w:tcPr>
            <w:tcW w:w="1701" w:type="dxa"/>
            <w:tcBorders>
              <w:top w:val="nil"/>
              <w:left w:val="nil"/>
              <w:bottom w:val="single" w:color="auto" w:sz="4" w:space="0"/>
              <w:right w:val="single" w:color="auto" w:sz="4" w:space="0"/>
            </w:tcBorders>
            <w:noWrap/>
            <w:vAlign w:val="center"/>
          </w:tcPr>
          <w:p w14:paraId="4B4B6E43">
            <w:pPr>
              <w:rPr>
                <w:rFonts w:hint="eastAsia" w:ascii="宋体" w:hAnsi="宋体" w:eastAsia="宋体" w:cs="宋体"/>
                <w:sz w:val="18"/>
                <w:szCs w:val="18"/>
              </w:rPr>
            </w:pPr>
            <w:r>
              <w:rPr>
                <w:rFonts w:hint="eastAsia" w:ascii="宋体" w:hAnsi="宋体" w:eastAsia="宋体" w:cs="宋体"/>
                <w:sz w:val="18"/>
                <w:szCs w:val="18"/>
              </w:rPr>
              <w:t>2024年工作计划</w:t>
            </w:r>
          </w:p>
        </w:tc>
        <w:tc>
          <w:tcPr>
            <w:tcW w:w="1134" w:type="dxa"/>
            <w:tcBorders>
              <w:top w:val="nil"/>
              <w:left w:val="nil"/>
              <w:bottom w:val="single" w:color="auto" w:sz="4" w:space="0"/>
              <w:right w:val="single" w:color="auto" w:sz="4" w:space="0"/>
            </w:tcBorders>
            <w:noWrap/>
            <w:vAlign w:val="center"/>
          </w:tcPr>
          <w:p w14:paraId="27D1DB88">
            <w:pPr>
              <w:jc w:val="center"/>
              <w:rPr>
                <w:rFonts w:hint="eastAsia" w:ascii="宋体" w:hAnsi="宋体" w:eastAsia="宋体" w:cs="宋体"/>
                <w:sz w:val="18"/>
                <w:szCs w:val="18"/>
              </w:rPr>
            </w:pPr>
            <w:r>
              <w:rPr>
                <w:rFonts w:hint="eastAsia" w:ascii="宋体" w:hAnsi="宋体" w:eastAsia="宋体" w:cs="宋体"/>
                <w:sz w:val="18"/>
                <w:szCs w:val="18"/>
              </w:rPr>
              <w:tab/>
            </w:r>
            <w:r>
              <w:rPr>
                <w:rFonts w:hint="eastAsia" w:ascii="宋体" w:hAnsi="宋体" w:eastAsia="宋体" w:cs="宋体"/>
                <w:sz w:val="18"/>
                <w:szCs w:val="18"/>
              </w:rPr>
              <w:t>1</w:t>
            </w:r>
          </w:p>
        </w:tc>
        <w:tc>
          <w:tcPr>
            <w:tcW w:w="992" w:type="dxa"/>
            <w:tcBorders>
              <w:top w:val="nil"/>
              <w:left w:val="nil"/>
              <w:bottom w:val="single" w:color="auto" w:sz="4" w:space="0"/>
              <w:right w:val="single" w:color="auto" w:sz="4" w:space="0"/>
            </w:tcBorders>
            <w:noWrap/>
            <w:vAlign w:val="center"/>
          </w:tcPr>
          <w:p w14:paraId="38DFA60E">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nil"/>
              <w:left w:val="nil"/>
              <w:bottom w:val="single" w:color="auto" w:sz="4" w:space="0"/>
              <w:right w:val="single" w:color="auto" w:sz="4" w:space="0"/>
            </w:tcBorders>
            <w:noWrap/>
            <w:vAlign w:val="center"/>
          </w:tcPr>
          <w:p w14:paraId="76F24305">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14:paraId="47021226">
            <w:pPr>
              <w:jc w:val="center"/>
              <w:rPr>
                <w:rFonts w:hint="eastAsia" w:ascii="宋体" w:hAnsi="宋体" w:eastAsia="宋体" w:cs="宋体"/>
                <w:sz w:val="18"/>
                <w:szCs w:val="18"/>
              </w:rPr>
            </w:pPr>
          </w:p>
        </w:tc>
      </w:tr>
      <w:tr w14:paraId="02AC0278">
        <w:tblPrEx>
          <w:tblCellMar>
            <w:top w:w="0" w:type="dxa"/>
            <w:left w:w="108" w:type="dxa"/>
            <w:bottom w:w="0" w:type="dxa"/>
            <w:right w:w="108" w:type="dxa"/>
          </w:tblCellMar>
        </w:tblPrEx>
        <w:trPr>
          <w:cantSplit/>
          <w:trHeight w:val="740" w:hRule="atLeast"/>
        </w:trPr>
        <w:tc>
          <w:tcPr>
            <w:tcW w:w="993" w:type="dxa"/>
            <w:vMerge w:val="continue"/>
            <w:tcBorders>
              <w:left w:val="single" w:color="auto" w:sz="4" w:space="0"/>
              <w:bottom w:val="single" w:color="auto" w:sz="4" w:space="0"/>
              <w:right w:val="single" w:color="auto" w:sz="4" w:space="0"/>
            </w:tcBorders>
            <w:noWrap/>
            <w:vAlign w:val="center"/>
          </w:tcPr>
          <w:p w14:paraId="67572DA5">
            <w:pPr>
              <w:jc w:val="center"/>
              <w:rPr>
                <w:rFonts w:hint="eastAsia" w:ascii="宋体" w:hAnsi="宋体" w:eastAsia="宋体" w:cs="宋体"/>
                <w:sz w:val="18"/>
                <w:szCs w:val="18"/>
              </w:rPr>
            </w:pPr>
          </w:p>
        </w:tc>
        <w:tc>
          <w:tcPr>
            <w:tcW w:w="1417" w:type="dxa"/>
            <w:tcBorders>
              <w:top w:val="single" w:color="auto" w:sz="4" w:space="0"/>
              <w:left w:val="nil"/>
              <w:bottom w:val="single" w:color="auto" w:sz="4" w:space="0"/>
              <w:right w:val="single" w:color="auto" w:sz="4" w:space="0"/>
            </w:tcBorders>
            <w:noWrap/>
            <w:vAlign w:val="center"/>
          </w:tcPr>
          <w:p w14:paraId="167F0D4D">
            <w:pPr>
              <w:jc w:val="center"/>
              <w:rPr>
                <w:rFonts w:hint="eastAsia" w:ascii="宋体" w:hAnsi="宋体" w:eastAsia="宋体" w:cs="宋体"/>
                <w:sz w:val="18"/>
                <w:szCs w:val="18"/>
              </w:rPr>
            </w:pPr>
            <w:r>
              <w:rPr>
                <w:rFonts w:hint="eastAsia" w:ascii="宋体" w:hAnsi="宋体" w:eastAsia="宋体" w:cs="宋体"/>
                <w:sz w:val="18"/>
                <w:szCs w:val="18"/>
              </w:rPr>
              <w:t>时效指标</w:t>
            </w:r>
          </w:p>
        </w:tc>
        <w:tc>
          <w:tcPr>
            <w:tcW w:w="1418" w:type="dxa"/>
            <w:tcBorders>
              <w:top w:val="single" w:color="auto" w:sz="4" w:space="0"/>
              <w:left w:val="nil"/>
              <w:bottom w:val="single" w:color="auto" w:sz="4" w:space="0"/>
              <w:right w:val="single" w:color="auto" w:sz="4" w:space="0"/>
            </w:tcBorders>
            <w:noWrap/>
            <w:vAlign w:val="center"/>
          </w:tcPr>
          <w:p w14:paraId="232E0E34">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发放爱国宗教人士补贴及时率</w:t>
            </w:r>
          </w:p>
        </w:tc>
        <w:tc>
          <w:tcPr>
            <w:tcW w:w="1276" w:type="dxa"/>
            <w:tcBorders>
              <w:top w:val="single" w:color="auto" w:sz="4" w:space="0"/>
              <w:left w:val="nil"/>
              <w:bottom w:val="single" w:color="auto" w:sz="4" w:space="0"/>
              <w:right w:val="single" w:color="auto" w:sz="4" w:space="0"/>
            </w:tcBorders>
            <w:noWrap/>
            <w:vAlign w:val="center"/>
          </w:tcPr>
          <w:p w14:paraId="38E3A274">
            <w:pPr>
              <w:jc w:val="center"/>
              <w:rPr>
                <w:rFonts w:hint="eastAsia" w:ascii="宋体" w:hAnsi="宋体" w:eastAsia="宋体" w:cs="宋体"/>
                <w:sz w:val="18"/>
                <w:szCs w:val="18"/>
              </w:rPr>
            </w:pPr>
            <w:r>
              <w:rPr>
                <w:rFonts w:hint="eastAsia" w:ascii="宋体" w:hAnsi="宋体" w:eastAsia="宋体" w:cs="宋体"/>
                <w:sz w:val="18"/>
                <w:szCs w:val="18"/>
              </w:rPr>
              <w:t>=100%</w:t>
            </w:r>
          </w:p>
        </w:tc>
        <w:tc>
          <w:tcPr>
            <w:tcW w:w="1701" w:type="dxa"/>
            <w:tcBorders>
              <w:top w:val="single" w:color="auto" w:sz="4" w:space="0"/>
              <w:left w:val="nil"/>
              <w:bottom w:val="single" w:color="auto" w:sz="4" w:space="0"/>
              <w:right w:val="single" w:color="auto" w:sz="4" w:space="0"/>
            </w:tcBorders>
            <w:noWrap/>
            <w:vAlign w:val="center"/>
          </w:tcPr>
          <w:p w14:paraId="0FDC1383">
            <w:pPr>
              <w:rPr>
                <w:rFonts w:hint="eastAsia" w:ascii="宋体" w:hAnsi="宋体" w:eastAsia="宋体" w:cs="宋体"/>
                <w:sz w:val="18"/>
                <w:szCs w:val="18"/>
              </w:rPr>
            </w:pPr>
            <w:r>
              <w:rPr>
                <w:rFonts w:hint="eastAsia" w:ascii="宋体" w:hAnsi="宋体" w:eastAsia="宋体" w:cs="宋体"/>
                <w:sz w:val="18"/>
                <w:szCs w:val="18"/>
              </w:rPr>
              <w:t>乌党统〔2021〕5号</w:t>
            </w:r>
          </w:p>
        </w:tc>
        <w:tc>
          <w:tcPr>
            <w:tcW w:w="1134" w:type="dxa"/>
            <w:tcBorders>
              <w:top w:val="single" w:color="auto" w:sz="4" w:space="0"/>
              <w:left w:val="nil"/>
              <w:bottom w:val="single" w:color="auto" w:sz="4" w:space="0"/>
              <w:right w:val="single" w:color="auto" w:sz="4" w:space="0"/>
            </w:tcBorders>
            <w:noWrap/>
            <w:vAlign w:val="center"/>
          </w:tcPr>
          <w:p w14:paraId="08E53420">
            <w:pPr>
              <w:jc w:val="center"/>
              <w:rPr>
                <w:rFonts w:hint="eastAsia" w:ascii="宋体" w:hAnsi="宋体" w:eastAsia="宋体" w:cs="宋体"/>
                <w:sz w:val="18"/>
                <w:szCs w:val="18"/>
              </w:rPr>
            </w:pPr>
            <w:r>
              <w:rPr>
                <w:rFonts w:hint="eastAsia" w:ascii="宋体" w:hAnsi="宋体" w:eastAsia="宋体" w:cs="宋体"/>
                <w:sz w:val="18"/>
                <w:szCs w:val="18"/>
              </w:rPr>
              <w:t>100%</w:t>
            </w:r>
          </w:p>
        </w:tc>
        <w:tc>
          <w:tcPr>
            <w:tcW w:w="992" w:type="dxa"/>
            <w:tcBorders>
              <w:top w:val="single" w:color="auto" w:sz="4" w:space="0"/>
              <w:left w:val="nil"/>
              <w:bottom w:val="single" w:color="auto" w:sz="4" w:space="0"/>
              <w:right w:val="single" w:color="auto" w:sz="4" w:space="0"/>
            </w:tcBorders>
            <w:noWrap/>
            <w:vAlign w:val="center"/>
          </w:tcPr>
          <w:p w14:paraId="5C0D778E">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single" w:color="auto" w:sz="4" w:space="0"/>
              <w:left w:val="nil"/>
              <w:bottom w:val="single" w:color="auto" w:sz="4" w:space="0"/>
              <w:right w:val="single" w:color="auto" w:sz="4" w:space="0"/>
            </w:tcBorders>
            <w:noWrap/>
            <w:vAlign w:val="center"/>
          </w:tcPr>
          <w:p w14:paraId="0BB06AD1">
            <w:pPr>
              <w:jc w:val="center"/>
              <w:rPr>
                <w:rFonts w:hint="eastAsia" w:ascii="宋体" w:hAnsi="宋体" w:eastAsia="宋体" w:cs="宋体"/>
                <w:sz w:val="18"/>
                <w:szCs w:val="18"/>
              </w:rPr>
            </w:pPr>
            <w:r>
              <w:rPr>
                <w:rFonts w:hint="eastAsia" w:ascii="宋体" w:hAnsi="宋体" w:eastAsia="宋体" w:cs="宋体"/>
                <w:sz w:val="18"/>
                <w:szCs w:val="18"/>
              </w:rPr>
              <w:t>30</w:t>
            </w:r>
          </w:p>
        </w:tc>
        <w:tc>
          <w:tcPr>
            <w:tcW w:w="284" w:type="dxa"/>
            <w:tcBorders>
              <w:top w:val="nil"/>
              <w:left w:val="nil"/>
              <w:bottom w:val="nil"/>
              <w:right w:val="nil"/>
            </w:tcBorders>
            <w:noWrap/>
            <w:vAlign w:val="center"/>
          </w:tcPr>
          <w:p w14:paraId="09FE7A71">
            <w:pPr>
              <w:jc w:val="center"/>
              <w:rPr>
                <w:rFonts w:hint="eastAsia" w:ascii="宋体" w:hAnsi="宋体" w:eastAsia="宋体" w:cs="宋体"/>
                <w:sz w:val="18"/>
                <w:szCs w:val="18"/>
              </w:rPr>
            </w:pPr>
          </w:p>
        </w:tc>
      </w:tr>
      <w:tr w14:paraId="71A01304">
        <w:tblPrEx>
          <w:tblCellMar>
            <w:top w:w="0" w:type="dxa"/>
            <w:left w:w="108" w:type="dxa"/>
            <w:bottom w:w="0" w:type="dxa"/>
            <w:right w:w="108" w:type="dxa"/>
          </w:tblCellMar>
        </w:tblPrEx>
        <w:trPr>
          <w:cantSplit/>
          <w:trHeight w:val="740" w:hRule="atLeast"/>
        </w:trPr>
        <w:tc>
          <w:tcPr>
            <w:tcW w:w="7939" w:type="dxa"/>
            <w:gridSpan w:val="6"/>
            <w:tcBorders>
              <w:top w:val="single" w:color="auto" w:sz="4" w:space="0"/>
              <w:left w:val="single" w:color="auto" w:sz="4" w:space="0"/>
              <w:bottom w:val="single" w:color="auto" w:sz="4" w:space="0"/>
              <w:right w:val="single" w:color="auto" w:sz="4" w:space="0"/>
            </w:tcBorders>
            <w:noWrap/>
            <w:vAlign w:val="center"/>
          </w:tcPr>
          <w:p w14:paraId="1BE758AA">
            <w:pPr>
              <w:jc w:val="center"/>
              <w:rPr>
                <w:rFonts w:hint="eastAsia" w:ascii="宋体" w:hAnsi="宋体" w:eastAsia="宋体" w:cs="宋体"/>
                <w:sz w:val="18"/>
                <w:szCs w:val="18"/>
              </w:rPr>
            </w:pPr>
            <w:r>
              <w:rPr>
                <w:rFonts w:hint="eastAsia" w:ascii="宋体" w:hAnsi="宋体" w:eastAsia="宋体" w:cs="宋体"/>
                <w:sz w:val="18"/>
                <w:szCs w:val="18"/>
              </w:rPr>
              <w:t>总分</w:t>
            </w:r>
          </w:p>
        </w:tc>
        <w:tc>
          <w:tcPr>
            <w:tcW w:w="992" w:type="dxa"/>
            <w:tcBorders>
              <w:top w:val="single" w:color="auto" w:sz="4" w:space="0"/>
              <w:left w:val="nil"/>
              <w:bottom w:val="single" w:color="auto" w:sz="4" w:space="0"/>
              <w:right w:val="single" w:color="auto" w:sz="4" w:space="0"/>
            </w:tcBorders>
            <w:noWrap/>
            <w:vAlign w:val="center"/>
          </w:tcPr>
          <w:p w14:paraId="1541258A">
            <w:pPr>
              <w:jc w:val="center"/>
              <w:rPr>
                <w:rFonts w:hint="eastAsia" w:ascii="宋体" w:hAnsi="宋体" w:eastAsia="宋体" w:cs="宋体"/>
                <w:sz w:val="18"/>
                <w:szCs w:val="18"/>
              </w:rPr>
            </w:pPr>
            <w:r>
              <w:rPr>
                <w:rFonts w:hint="eastAsia" w:ascii="宋体" w:hAnsi="宋体" w:eastAsia="宋体" w:cs="宋体"/>
                <w:sz w:val="18"/>
                <w:szCs w:val="18"/>
              </w:rPr>
              <w:t>100</w:t>
            </w:r>
          </w:p>
        </w:tc>
        <w:tc>
          <w:tcPr>
            <w:tcW w:w="720" w:type="dxa"/>
            <w:tcBorders>
              <w:top w:val="single" w:color="auto" w:sz="4" w:space="0"/>
              <w:left w:val="nil"/>
              <w:bottom w:val="single" w:color="auto" w:sz="4" w:space="0"/>
              <w:right w:val="single" w:color="auto" w:sz="4" w:space="0"/>
            </w:tcBorders>
            <w:noWrap/>
            <w:vAlign w:val="center"/>
          </w:tcPr>
          <w:p w14:paraId="7F49D6F3">
            <w:pPr>
              <w:jc w:val="center"/>
              <w:rPr>
                <w:rFonts w:hint="eastAsia" w:ascii="宋体" w:hAnsi="宋体" w:eastAsia="宋体" w:cs="宋体"/>
                <w:sz w:val="18"/>
                <w:szCs w:val="18"/>
              </w:rPr>
            </w:pPr>
            <w:r>
              <w:rPr>
                <w:rFonts w:hint="eastAsia" w:ascii="宋体" w:hAnsi="宋体" w:eastAsia="宋体" w:cs="宋体"/>
                <w:sz w:val="18"/>
                <w:szCs w:val="18"/>
              </w:rPr>
              <w:t>99.87</w:t>
            </w:r>
          </w:p>
        </w:tc>
        <w:tc>
          <w:tcPr>
            <w:tcW w:w="284" w:type="dxa"/>
            <w:tcBorders>
              <w:top w:val="nil"/>
              <w:left w:val="nil"/>
              <w:bottom w:val="nil"/>
              <w:right w:val="nil"/>
            </w:tcBorders>
            <w:noWrap/>
            <w:vAlign w:val="center"/>
          </w:tcPr>
          <w:p w14:paraId="4EC834D8">
            <w:pPr>
              <w:jc w:val="center"/>
              <w:rPr>
                <w:rFonts w:hint="eastAsia" w:ascii="宋体" w:hAnsi="宋体" w:eastAsia="宋体" w:cs="宋体"/>
                <w:sz w:val="18"/>
                <w:szCs w:val="18"/>
              </w:rPr>
            </w:pPr>
          </w:p>
        </w:tc>
      </w:tr>
      <w:bookmarkEnd w:id="5"/>
    </w:tbl>
    <w:p w14:paraId="25066469">
      <w:pPr>
        <w:jc w:val="center"/>
        <w:rPr>
          <w:rFonts w:hint="eastAsia" w:ascii="宋体" w:hAnsi="宋体" w:eastAsia="宋体" w:cs="宋体"/>
          <w:b/>
          <w:bCs/>
          <w:sz w:val="18"/>
          <w:szCs w:val="18"/>
        </w:rPr>
      </w:pPr>
    </w:p>
    <w:p w14:paraId="44AB43F7">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十二、其他需说明的事项</w:t>
      </w:r>
    </w:p>
    <w:p w14:paraId="795B4041">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本单位无其他需说明事项。</w:t>
      </w:r>
    </w:p>
    <w:p w14:paraId="3CBD0289">
      <w:pPr>
        <w:spacing w:after="0" w:line="240" w:lineRule="auto"/>
        <w:ind w:firstLine="640" w:firstLineChars="200"/>
        <w:rPr>
          <w:rFonts w:hint="eastAsia" w:ascii="仿宋_GB2312" w:eastAsia="仿宋_GB2312"/>
          <w:sz w:val="32"/>
          <w:szCs w:val="32"/>
          <w:lang w:eastAsia="zh-CN"/>
        </w:rPr>
      </w:pPr>
    </w:p>
    <w:p w14:paraId="3A17249A">
      <w:pPr>
        <w:rPr>
          <w:rFonts w:hint="eastAsia"/>
          <w:lang w:eastAsia="zh-CN"/>
        </w:rPr>
      </w:pPr>
      <w:r>
        <w:rPr>
          <w:sz w:val="0"/>
          <w:szCs w:val="0"/>
          <w:lang w:eastAsia="zh-CN"/>
        </w:rPr>
        <w:br w:type="page"/>
      </w:r>
    </w:p>
    <w:p w14:paraId="24E3F1D4">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第三部分 专业名词解释</w:t>
      </w:r>
    </w:p>
    <w:p w14:paraId="57C1093D">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一、财政拨款收入：</w:t>
      </w:r>
      <w:r>
        <w:rPr>
          <w:rFonts w:ascii="仿宋_GB2312" w:eastAsia="仿宋_GB2312"/>
          <w:sz w:val="32"/>
          <w:szCs w:val="32"/>
          <w:lang w:eastAsia="zh-CN"/>
        </w:rPr>
        <w:t>指同级财政当年拨付的资金。</w:t>
      </w:r>
    </w:p>
    <w:p w14:paraId="238C3DFB">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二、上级补助收入：</w:t>
      </w:r>
      <w:r>
        <w:rPr>
          <w:rFonts w:ascii="仿宋_GB2312" w:eastAsia="仿宋_GB2312"/>
          <w:sz w:val="32"/>
          <w:szCs w:val="32"/>
          <w:lang w:eastAsia="zh-CN"/>
        </w:rPr>
        <w:t>指事业单位从主管部门和上级单位取得的非财政补助收入。</w:t>
      </w:r>
    </w:p>
    <w:p w14:paraId="56329156">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三、事业收入：</w:t>
      </w:r>
      <w:r>
        <w:rPr>
          <w:rFonts w:ascii="仿宋_GB2312" w:eastAsia="仿宋_GB2312"/>
          <w:sz w:val="32"/>
          <w:szCs w:val="32"/>
          <w:lang w:eastAsia="zh-CN"/>
        </w:rPr>
        <w:t>指事业单位开展专业业务活动及其辅助活动所取得的收入。</w:t>
      </w:r>
    </w:p>
    <w:p w14:paraId="6CFE7132">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四、经营收入：</w:t>
      </w:r>
      <w:r>
        <w:rPr>
          <w:rFonts w:ascii="仿宋_GB2312" w:eastAsia="仿宋_GB2312"/>
          <w:sz w:val="32"/>
          <w:szCs w:val="32"/>
          <w:lang w:eastAsia="zh-CN"/>
        </w:rPr>
        <w:t>指事业单位在专业业务活动及其辅助活动之外开展非独立核算经营活动取得的收入。</w:t>
      </w:r>
    </w:p>
    <w:p w14:paraId="78498D03">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五、附属单位上缴收入：</w:t>
      </w:r>
      <w:r>
        <w:rPr>
          <w:rFonts w:ascii="仿宋_GB2312" w:eastAsia="仿宋_GB2312"/>
          <w:sz w:val="32"/>
          <w:szCs w:val="32"/>
          <w:lang w:eastAsia="zh-CN"/>
        </w:rPr>
        <w:t>指事业单位附属的独立核算单位按有关规定上缴的收入。</w:t>
      </w:r>
    </w:p>
    <w:p w14:paraId="38B3A40D">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六、其他收入：</w:t>
      </w:r>
      <w:r>
        <w:rPr>
          <w:rFonts w:ascii="仿宋_GB2312" w:eastAsia="仿宋_GB2312"/>
          <w:sz w:val="32"/>
          <w:szCs w:val="32"/>
          <w:lang w:eastAsia="zh-CN"/>
        </w:rPr>
        <w:t>指除上述“财政拨款收入”、“事业收入”、“经营收入”、“附属单位上缴收入”等之外取得的收入。</w:t>
      </w:r>
    </w:p>
    <w:p w14:paraId="5EA95938">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七、年初结转和结余：</w:t>
      </w:r>
      <w:r>
        <w:rPr>
          <w:rFonts w:ascii="仿宋_GB2312" w:eastAsia="仿宋_GB2312"/>
          <w:sz w:val="32"/>
          <w:szCs w:val="32"/>
          <w:lang w:eastAsia="zh-CN"/>
        </w:rPr>
        <w:t>指以前年度支出预算因客观条件变化未执行完毕、结转到本年度按有关规定继续使用的资金，既包括财政拨款结转和结余，也包括事业收入、经营收入、其他收入的结转和结余。</w:t>
      </w:r>
    </w:p>
    <w:p w14:paraId="21D092A9">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八、年末结转和结余：</w:t>
      </w:r>
      <w:r>
        <w:rPr>
          <w:rFonts w:ascii="仿宋_GB2312" w:eastAsia="仿宋_GB2312"/>
          <w:sz w:val="32"/>
          <w:szCs w:val="32"/>
          <w:lang w:eastAsia="zh-CN"/>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99724A6">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九、基本支出：</w:t>
      </w:r>
      <w:r>
        <w:rPr>
          <w:rFonts w:ascii="仿宋_GB2312" w:eastAsia="仿宋_GB2312"/>
          <w:sz w:val="32"/>
          <w:szCs w:val="32"/>
          <w:lang w:eastAsia="zh-CN"/>
        </w:rPr>
        <w:t>指为保障机构正常运转、完成日常工作任务而发生的人员支出和公用支出。</w:t>
      </w:r>
    </w:p>
    <w:p w14:paraId="1665EA8B">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十、项目支出：</w:t>
      </w:r>
      <w:r>
        <w:rPr>
          <w:rFonts w:ascii="仿宋_GB2312" w:eastAsia="仿宋_GB2312"/>
          <w:sz w:val="32"/>
          <w:szCs w:val="32"/>
          <w:lang w:eastAsia="zh-CN"/>
        </w:rPr>
        <w:t>指在基本支出之外为完成特定行政任务和事业发展目标所发生的支出。</w:t>
      </w:r>
    </w:p>
    <w:p w14:paraId="5EE3A219">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十一、经营支出：</w:t>
      </w:r>
      <w:r>
        <w:rPr>
          <w:rFonts w:ascii="仿宋_GB2312" w:eastAsia="仿宋_GB2312"/>
          <w:sz w:val="32"/>
          <w:szCs w:val="32"/>
          <w:lang w:eastAsia="zh-CN"/>
        </w:rPr>
        <w:t>指事业单位在专业业务活动及其辅助活动之外开展非独立核算经营活动发生的支出。</w:t>
      </w:r>
    </w:p>
    <w:p w14:paraId="5DCE7D7C">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十二、对附属单位补助支出：</w:t>
      </w:r>
      <w:r>
        <w:rPr>
          <w:rFonts w:ascii="仿宋_GB2312" w:eastAsia="仿宋_GB2312"/>
          <w:sz w:val="32"/>
          <w:szCs w:val="32"/>
          <w:lang w:eastAsia="zh-CN"/>
        </w:rPr>
        <w:t>指事业单位发生的用非财政预算资金对附属单位的补助支出。</w:t>
      </w:r>
    </w:p>
    <w:p w14:paraId="55B0E72C">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十三、“三公”经费：</w:t>
      </w:r>
      <w:r>
        <w:rPr>
          <w:rFonts w:ascii="仿宋_GB2312" w:eastAsia="仿宋_GB2312"/>
          <w:sz w:val="32"/>
          <w:szCs w:val="32"/>
          <w:lang w:eastAsia="zh-CN"/>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EA156C0">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十四、机关运行经费：</w:t>
      </w:r>
      <w:r>
        <w:rPr>
          <w:rFonts w:ascii="仿宋_GB2312" w:eastAsia="仿宋_GB2312"/>
          <w:sz w:val="32"/>
          <w:szCs w:val="32"/>
          <w:lang w:eastAsia="zh-CN"/>
        </w:rPr>
        <w:t>行政单位和参照公务员法管理的事业单位财政拨款基本支出中的公用经费支出。</w:t>
      </w:r>
    </w:p>
    <w:p w14:paraId="0E8A06CE">
      <w:pPr>
        <w:rPr>
          <w:rFonts w:hint="eastAsia"/>
          <w:lang w:eastAsia="zh-CN"/>
        </w:rPr>
      </w:pPr>
      <w:r>
        <w:rPr>
          <w:sz w:val="0"/>
          <w:szCs w:val="0"/>
          <w:lang w:eastAsia="zh-CN"/>
        </w:rPr>
        <w:br w:type="page"/>
      </w:r>
    </w:p>
    <w:p w14:paraId="6033B479">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第四部分 部门决算报表（见附表）</w:t>
      </w:r>
    </w:p>
    <w:p w14:paraId="3A9F632B">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一、《收入支出决算总表》</w:t>
      </w:r>
    </w:p>
    <w:p w14:paraId="0FAC40F7">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二、《收入决算表》</w:t>
      </w:r>
    </w:p>
    <w:p w14:paraId="5E44FD20">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三、《支出决算表》</w:t>
      </w:r>
    </w:p>
    <w:p w14:paraId="17AF93B6">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四、《财政拨款收入支出决算总表》</w:t>
      </w:r>
    </w:p>
    <w:p w14:paraId="45C273D9">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五、《一般公共预算财政拨款支出决算表》</w:t>
      </w:r>
    </w:p>
    <w:p w14:paraId="4FE337A7">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5ADAEA1E">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1B5462AF">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0F5A88A0">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九、《财政拨款“三公”经费支出决算表》</w:t>
      </w:r>
    </w:p>
    <w:sectPr>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2"/>
    <w:compatSetting w:name="overrideTableStyleFontSizeAndJustification" w:uri="http://schemas.microsoft.com/office/word" w:val="1"/>
  </w:compat>
  <w:rsids>
    <w:rsidRoot w:val="00E130E5"/>
    <w:rsid w:val="0019081C"/>
    <w:rsid w:val="001E15DA"/>
    <w:rsid w:val="003143C3"/>
    <w:rsid w:val="004E4F99"/>
    <w:rsid w:val="00B91AA7"/>
    <w:rsid w:val="00C91788"/>
    <w:rsid w:val="00DF6899"/>
    <w:rsid w:val="00E130E5"/>
    <w:rsid w:val="04B42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472C4"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472C4" w:themeColor="accent1"/>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uiPriority w:val="99"/>
    <w:pPr>
      <w:ind w:left="720"/>
    </w:pPr>
  </w:style>
  <w:style w:type="paragraph" w:styleId="7">
    <w:name w:val="caption"/>
    <w:basedOn w:val="1"/>
    <w:next w:val="1"/>
    <w:semiHidden/>
    <w:unhideWhenUsed/>
    <w:qFormat/>
    <w:uiPriority w:val="35"/>
    <w:pPr>
      <w:spacing w:line="240" w:lineRule="auto"/>
    </w:pPr>
    <w:rPr>
      <w:b/>
      <w:bCs/>
      <w:color w:val="4472C4" w:themeColor="accent1"/>
      <w:sz w:val="18"/>
      <w:szCs w:val="18"/>
    </w:rPr>
  </w:style>
  <w:style w:type="paragraph" w:styleId="8">
    <w:name w:val="footer"/>
    <w:basedOn w:val="1"/>
    <w:link w:val="24"/>
    <w:unhideWhenUsed/>
    <w:qFormat/>
    <w:uiPriority w:val="99"/>
    <w:pPr>
      <w:tabs>
        <w:tab w:val="center" w:pos="4153"/>
        <w:tab w:val="right" w:pos="8306"/>
      </w:tabs>
      <w:snapToGrid w:val="0"/>
      <w:spacing w:line="240" w:lineRule="auto"/>
    </w:pPr>
    <w:rPr>
      <w:sz w:val="18"/>
      <w:szCs w:val="18"/>
    </w:rPr>
  </w:style>
  <w:style w:type="paragraph" w:styleId="9">
    <w:name w:val="header"/>
    <w:basedOn w:val="1"/>
    <w:link w:val="17"/>
    <w:unhideWhenUsed/>
    <w:uiPriority w:val="99"/>
    <w:pPr>
      <w:tabs>
        <w:tab w:val="center" w:pos="4680"/>
        <w:tab w:val="right" w:pos="9360"/>
      </w:tabs>
    </w:pPr>
  </w:style>
  <w:style w:type="paragraph" w:styleId="10">
    <w:name w:val="Subtitle"/>
    <w:basedOn w:val="1"/>
    <w:next w:val="1"/>
    <w:link w:val="22"/>
    <w:qFormat/>
    <w:uiPriority w:val="11"/>
    <w:pPr>
      <w:ind w:left="86"/>
    </w:pPr>
    <w:rPr>
      <w:rFonts w:asciiTheme="majorHAnsi" w:hAnsiTheme="majorHAnsi" w:eastAsiaTheme="majorEastAsia" w:cstheme="majorBidi"/>
      <w:i/>
      <w:iCs/>
      <w:color w:val="4472C4" w:themeColor="accent1"/>
      <w:spacing w:val="15"/>
      <w:sz w:val="24"/>
      <w:szCs w:val="24"/>
    </w:rPr>
  </w:style>
  <w:style w:type="paragraph" w:styleId="11">
    <w:name w:val="Title"/>
    <w:basedOn w:val="1"/>
    <w:next w:val="1"/>
    <w:link w:val="23"/>
    <w:qFormat/>
    <w:uiPriority w:val="10"/>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table" w:styleId="13">
    <w:name w:val="Table Grid"/>
    <w:basedOn w:val="12"/>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Emphasis"/>
    <w:basedOn w:val="14"/>
    <w:qFormat/>
    <w:uiPriority w:val="20"/>
    <w:rPr>
      <w:i/>
      <w:iCs/>
    </w:rPr>
  </w:style>
  <w:style w:type="character" w:styleId="16">
    <w:name w:val="Hyperlink"/>
    <w:basedOn w:val="14"/>
    <w:unhideWhenUsed/>
    <w:qFormat/>
    <w:uiPriority w:val="99"/>
    <w:rPr>
      <w:color w:val="0563C1" w:themeColor="hyperlink"/>
      <w:u w:val="single"/>
    </w:rPr>
  </w:style>
  <w:style w:type="character" w:customStyle="1" w:styleId="17">
    <w:name w:val="页眉 字符"/>
    <w:basedOn w:val="14"/>
    <w:link w:val="9"/>
    <w:uiPriority w:val="99"/>
  </w:style>
  <w:style w:type="character" w:customStyle="1" w:styleId="18">
    <w:name w:val="标题 1 字符"/>
    <w:basedOn w:val="14"/>
    <w:link w:val="2"/>
    <w:uiPriority w:val="9"/>
    <w:rPr>
      <w:rFonts w:asciiTheme="majorHAnsi" w:hAnsiTheme="majorHAnsi" w:eastAsiaTheme="majorEastAsia" w:cstheme="majorBidi"/>
      <w:b/>
      <w:bCs/>
      <w:color w:val="2F5496" w:themeColor="accent1" w:themeShade="BF"/>
      <w:sz w:val="28"/>
      <w:szCs w:val="28"/>
    </w:rPr>
  </w:style>
  <w:style w:type="character" w:customStyle="1" w:styleId="19">
    <w:name w:val="标题 2 字符"/>
    <w:basedOn w:val="14"/>
    <w:link w:val="3"/>
    <w:uiPriority w:val="9"/>
    <w:rPr>
      <w:rFonts w:asciiTheme="majorHAnsi" w:hAnsiTheme="majorHAnsi" w:eastAsiaTheme="majorEastAsia" w:cstheme="majorBidi"/>
      <w:b/>
      <w:bCs/>
      <w:color w:val="4472C4" w:themeColor="accent1"/>
      <w:sz w:val="26"/>
      <w:szCs w:val="26"/>
    </w:rPr>
  </w:style>
  <w:style w:type="character" w:customStyle="1" w:styleId="20">
    <w:name w:val="标题 3 字符"/>
    <w:basedOn w:val="14"/>
    <w:link w:val="4"/>
    <w:uiPriority w:val="9"/>
    <w:rPr>
      <w:rFonts w:asciiTheme="majorHAnsi" w:hAnsiTheme="majorHAnsi" w:eastAsiaTheme="majorEastAsia" w:cstheme="majorBidi"/>
      <w:b/>
      <w:bCs/>
      <w:color w:val="4472C4" w:themeColor="accent1"/>
    </w:rPr>
  </w:style>
  <w:style w:type="character" w:customStyle="1" w:styleId="21">
    <w:name w:val="标题 4 字符"/>
    <w:basedOn w:val="14"/>
    <w:link w:val="5"/>
    <w:uiPriority w:val="9"/>
    <w:rPr>
      <w:rFonts w:asciiTheme="majorHAnsi" w:hAnsiTheme="majorHAnsi" w:eastAsiaTheme="majorEastAsia" w:cstheme="majorBidi"/>
      <w:b/>
      <w:bCs/>
      <w:i/>
      <w:iCs/>
      <w:color w:val="4472C4" w:themeColor="accent1"/>
    </w:rPr>
  </w:style>
  <w:style w:type="character" w:customStyle="1" w:styleId="22">
    <w:name w:val="副标题 字符"/>
    <w:basedOn w:val="14"/>
    <w:link w:val="10"/>
    <w:uiPriority w:val="11"/>
    <w:rPr>
      <w:rFonts w:asciiTheme="majorHAnsi" w:hAnsiTheme="majorHAnsi" w:eastAsiaTheme="majorEastAsia" w:cstheme="majorBidi"/>
      <w:i/>
      <w:iCs/>
      <w:color w:val="4472C4" w:themeColor="accent1"/>
      <w:spacing w:val="15"/>
      <w:sz w:val="24"/>
      <w:szCs w:val="24"/>
    </w:rPr>
  </w:style>
  <w:style w:type="character" w:customStyle="1" w:styleId="23">
    <w:name w:val="标题 字符"/>
    <w:basedOn w:val="14"/>
    <w:link w:val="11"/>
    <w:uiPriority w:val="10"/>
    <w:rPr>
      <w:rFonts w:asciiTheme="majorHAnsi" w:hAnsiTheme="majorHAnsi" w:eastAsiaTheme="majorEastAsia" w:cstheme="majorBidi"/>
      <w:color w:val="323E4F" w:themeColor="text2" w:themeShade="BF"/>
      <w:spacing w:val="5"/>
      <w:kern w:val="28"/>
      <w:sz w:val="52"/>
      <w:szCs w:val="52"/>
    </w:rPr>
  </w:style>
  <w:style w:type="character" w:customStyle="1" w:styleId="24">
    <w:name w:val="页脚 字符"/>
    <w:basedOn w:val="14"/>
    <w:link w:val="8"/>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6058</Words>
  <Characters>6684</Characters>
  <Lines>227</Lines>
  <Paragraphs>198</Paragraphs>
  <TotalTime>17</TotalTime>
  <ScaleCrop>false</ScaleCrop>
  <LinksUpToDate>false</LinksUpToDate>
  <CharactersWithSpaces>6696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2025-08-26T16:03:00Z</dcterms:created>
  <dc:creator>c'c</dc:creator>
  <cp:lastModifiedBy>.</cp:lastModifiedBy>
  <dcterms:modified xsi:type="dcterms:W3CDTF">2025-11-20T07:18:37Z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eyJoZGlkIjoiYjYwNjEzMDY1YmY2YWIzMWRmOWNiOTYxNmUyNmI0OTQiLCJ1c2VySWQiOiI0MDk1MDg2NjAifQ==</vt:lpwstr>
  </property>
  <property fmtid="{D5CDD505-2E9C-101B-9397-08002B2CF9AE}" pid="3" name="KSOProductBuildVer">
    <vt:lpwstr>2052-12.1.0.19770</vt:lpwstr>
  </property>
  <property fmtid="{D5CDD505-2E9C-101B-9397-08002B2CF9AE}" pid="4" name="ICV">
    <vt:lpwstr>67E926EC73E848DDAE4124DA32EAAC7B_12</vt:lpwstr>
  </property>
</Properties>
</file>