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90EC7">
      <w:pPr>
        <w:spacing w:after="0" w:line="240" w:lineRule="auto"/>
        <w:rPr>
          <w:rFonts w:hint="eastAsia" w:ascii="宋体" w:eastAsia="宋体"/>
          <w:sz w:val="32"/>
          <w:szCs w:val="32"/>
        </w:rPr>
      </w:pPr>
    </w:p>
    <w:p w14:paraId="31A8ACDB">
      <w:pPr>
        <w:spacing w:after="0" w:line="240" w:lineRule="auto"/>
        <w:rPr>
          <w:rFonts w:hint="eastAsia" w:ascii="宋体" w:eastAsia="宋体"/>
          <w:sz w:val="44"/>
          <w:szCs w:val="44"/>
        </w:rPr>
      </w:pPr>
    </w:p>
    <w:p w14:paraId="2EFC08C1">
      <w:pPr>
        <w:spacing w:after="0" w:line="240" w:lineRule="auto"/>
        <w:rPr>
          <w:rFonts w:hint="eastAsia" w:ascii="宋体" w:eastAsia="宋体"/>
          <w:sz w:val="44"/>
          <w:szCs w:val="44"/>
        </w:rPr>
      </w:pPr>
    </w:p>
    <w:p w14:paraId="15E89AA0">
      <w:pPr>
        <w:spacing w:after="0" w:line="240" w:lineRule="auto"/>
        <w:rPr>
          <w:rFonts w:hint="eastAsia" w:ascii="宋体" w:eastAsia="宋体"/>
          <w:sz w:val="44"/>
          <w:szCs w:val="44"/>
        </w:rPr>
      </w:pPr>
    </w:p>
    <w:p w14:paraId="42F7C15E">
      <w:pPr>
        <w:spacing w:after="0" w:line="240" w:lineRule="auto"/>
        <w:jc w:val="center"/>
        <w:outlineLvl w:val="0"/>
        <w:rPr>
          <w:rFonts w:ascii="宋体" w:eastAsia="黑体"/>
          <w:sz w:val="44"/>
          <w:szCs w:val="44"/>
          <w:lang w:eastAsia="zh-CN"/>
        </w:rPr>
      </w:pPr>
      <w:r>
        <w:rPr>
          <w:rFonts w:ascii="宋体" w:eastAsia="黑体"/>
          <w:sz w:val="44"/>
          <w:szCs w:val="44"/>
          <w:lang w:eastAsia="zh-CN"/>
        </w:rPr>
        <w:t>中共乌鲁木齐市达坂城区委员会</w:t>
      </w:r>
    </w:p>
    <w:p w14:paraId="17809CAE">
      <w:pPr>
        <w:spacing w:after="0" w:line="240" w:lineRule="auto"/>
        <w:jc w:val="center"/>
        <w:outlineLvl w:val="0"/>
        <w:rPr>
          <w:rFonts w:hint="eastAsia" w:ascii="宋体" w:eastAsia="黑体"/>
          <w:sz w:val="44"/>
          <w:szCs w:val="44"/>
          <w:lang w:eastAsia="zh-CN"/>
        </w:rPr>
      </w:pPr>
      <w:r>
        <w:rPr>
          <w:rFonts w:ascii="宋体" w:eastAsia="黑体"/>
          <w:sz w:val="44"/>
          <w:szCs w:val="44"/>
          <w:lang w:eastAsia="zh-CN"/>
        </w:rPr>
        <w:t>机构编制委员会办公室</w:t>
      </w:r>
    </w:p>
    <w:p w14:paraId="3C078DA9">
      <w:pPr>
        <w:spacing w:after="0" w:line="240" w:lineRule="auto"/>
        <w:jc w:val="center"/>
        <w:outlineLvl w:val="0"/>
        <w:rPr>
          <w:rFonts w:hint="eastAsia" w:ascii="黑体" w:eastAsia="黑体"/>
          <w:sz w:val="44"/>
          <w:szCs w:val="44"/>
          <w:lang w:eastAsia="zh-CN"/>
        </w:rPr>
      </w:pPr>
      <w:r>
        <w:rPr>
          <w:rFonts w:ascii="黑体" w:eastAsia="黑体"/>
          <w:sz w:val="44"/>
          <w:szCs w:val="44"/>
          <w:lang w:eastAsia="zh-CN"/>
        </w:rPr>
        <w:t>2024年度部门决算公开说明</w:t>
      </w:r>
    </w:p>
    <w:p w14:paraId="08D26D0E">
      <w:pPr>
        <w:rPr>
          <w:rFonts w:hint="eastAsia"/>
          <w:lang w:eastAsia="zh-CN"/>
        </w:rPr>
      </w:pPr>
      <w:r>
        <w:rPr>
          <w:sz w:val="0"/>
          <w:szCs w:val="0"/>
          <w:lang w:eastAsia="zh-CN"/>
        </w:rPr>
        <w:br w:type="page"/>
      </w:r>
    </w:p>
    <w:p w14:paraId="0BAE71B4">
      <w:pPr>
        <w:spacing w:after="0" w:line="240" w:lineRule="auto"/>
        <w:jc w:val="center"/>
        <w:rPr>
          <w:rFonts w:hint="eastAsia" w:ascii="黑体" w:eastAsia="黑体"/>
          <w:sz w:val="32"/>
          <w:szCs w:val="32"/>
          <w:lang w:eastAsia="zh-CN"/>
        </w:rPr>
      </w:pPr>
      <w:r>
        <w:rPr>
          <w:rFonts w:ascii="黑体" w:eastAsia="黑体"/>
          <w:b/>
          <w:sz w:val="32"/>
          <w:szCs w:val="32"/>
          <w:lang w:eastAsia="zh-CN"/>
        </w:rPr>
        <w:t>目  录</w:t>
      </w:r>
    </w:p>
    <w:p w14:paraId="3E4CC209">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第一部分单位概况</w:t>
      </w:r>
    </w:p>
    <w:p w14:paraId="21BC9D3A">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一、主要职能</w:t>
      </w:r>
    </w:p>
    <w:p w14:paraId="5BE87842">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二、机构设置及人员情况</w:t>
      </w:r>
    </w:p>
    <w:p w14:paraId="005A730B">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第二部分 部门决算情况说明</w:t>
      </w:r>
    </w:p>
    <w:p w14:paraId="28FC122A">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一、收入支出决算总体情况说明</w:t>
      </w:r>
    </w:p>
    <w:p w14:paraId="69518C54">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二、收入决算情况说明</w:t>
      </w:r>
    </w:p>
    <w:p w14:paraId="78816E25">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三、支出决算情况说明</w:t>
      </w:r>
    </w:p>
    <w:p w14:paraId="186B7668">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四、财政拨款收入支出决算总体情况说明</w:t>
      </w:r>
    </w:p>
    <w:p w14:paraId="6DAA3C16">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五、一般公共预算财政拨款支出决算情况说明</w:t>
      </w:r>
    </w:p>
    <w:p w14:paraId="36CFFCB2">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（一）一般公共预算财政拨款支出决算总体情况</w:t>
      </w:r>
    </w:p>
    <w:p w14:paraId="641E174C">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（二）一般公共预算财政拨款支出决算结构情况</w:t>
      </w:r>
    </w:p>
    <w:p w14:paraId="7170A841">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（三）一般公共预算财政拨款支出决算具体情况</w:t>
      </w:r>
    </w:p>
    <w:p w14:paraId="09F3CA2A">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​六、一般公共预算财政拨款基本支出决算情况说明</w:t>
      </w:r>
    </w:p>
    <w:p w14:paraId="689F6D2B">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七、政府性基金预算财政拨款收入支出决算情况说明</w:t>
      </w:r>
    </w:p>
    <w:p w14:paraId="472C0880">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八、国有资本经营预算财政拨款收入支出决算情况说明</w:t>
      </w:r>
    </w:p>
    <w:p w14:paraId="7F4EF654">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九、财政拨款“三公”经费支出决算情况说明</w:t>
      </w:r>
    </w:p>
    <w:p w14:paraId="134D00EF">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​十、其他重要事项的情况说明</w:t>
      </w:r>
    </w:p>
    <w:p w14:paraId="0C299397">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（一）机关运行经费及公用经费支出情况</w:t>
      </w:r>
    </w:p>
    <w:p w14:paraId="320FB543">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（二）政府采购情况</w:t>
      </w:r>
    </w:p>
    <w:p w14:paraId="1FA9A807">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（三）国有资产占用情况说明</w:t>
      </w:r>
    </w:p>
    <w:p w14:paraId="4A9FE278">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十一、预算绩效的情况说明</w:t>
      </w:r>
    </w:p>
    <w:p w14:paraId="72BFEBD5">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十二、其他需说明的事项</w:t>
      </w:r>
    </w:p>
    <w:p w14:paraId="47C74D34">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第三部分 专业名词解释</w:t>
      </w:r>
    </w:p>
    <w:p w14:paraId="43E9A36D">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第四部分 部门决算报表（见附表）</w:t>
      </w:r>
    </w:p>
    <w:p w14:paraId="752F56C6">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一、《收入支出决算总表》</w:t>
      </w:r>
    </w:p>
    <w:p w14:paraId="3420E364">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二、《收入决算表》</w:t>
      </w:r>
    </w:p>
    <w:p w14:paraId="6CC037BC">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三、《支出决算表》</w:t>
      </w:r>
    </w:p>
    <w:p w14:paraId="25272148">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四、《财政拨款收入支出决算总表》</w:t>
      </w:r>
    </w:p>
    <w:p w14:paraId="693495E7">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五、《一般公共预算财政拨款支出决算表》</w:t>
      </w:r>
    </w:p>
    <w:p w14:paraId="2167BB73">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238F0046">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400A3A92">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6375D545">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九、《财政拨款“三公”经费支出决算表》</w:t>
      </w:r>
    </w:p>
    <w:p w14:paraId="3A8396ED">
      <w:pPr>
        <w:rPr>
          <w:rFonts w:hint="eastAsia"/>
          <w:lang w:eastAsia="zh-CN"/>
        </w:rPr>
      </w:pPr>
      <w:r>
        <w:rPr>
          <w:sz w:val="0"/>
          <w:szCs w:val="0"/>
          <w:lang w:eastAsia="zh-CN"/>
        </w:rPr>
        <w:br w:type="page"/>
      </w:r>
    </w:p>
    <w:p w14:paraId="6541DA49">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第一部分 单位概况</w:t>
      </w:r>
    </w:p>
    <w:p w14:paraId="2A601AB5">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 一、主要职能</w:t>
      </w:r>
    </w:p>
    <w:p w14:paraId="43ED52B8">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一）负责处理区委机构编制委员会日常事务工作；协调督促有关方面落实区委机构编制委员会的决定事项、工作部署和要求；围绕全区重点领域和关键环节体制机制改革，以及全面坚持和加强党的领导、全面深化改革和加强机构编制管理等深层次重大问题，组织开展调查研究，向区委机构编制委员会提出工作建议。</w:t>
      </w:r>
    </w:p>
    <w:p w14:paraId="028B22D5">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（二）贯彻执行党和国家关于行政管理体制改革、机构改革和机构编制管理的方针、政策和法规。</w:t>
      </w:r>
    </w:p>
    <w:p w14:paraId="2EC3EB85">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（三）统一管理全区各级党政机关，人大、政协、法院、检察院机关，各民主党派、人民团体机关及事业单位的机构编制工作。</w:t>
      </w:r>
    </w:p>
    <w:p w14:paraId="2D2F1241">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四）研究拟订全区机构改革的总体方案、片区（街道）机构编制方案、乡（镇）机构改革方案，并组织实施；审核区级党政机关，人大、政协、法院、检察院机关，各民主党派、人民团体机关的机构编制方案；指导、协调片区（街道）、乡（镇）机构改革及机构编制管理工作。</w:t>
      </w:r>
    </w:p>
    <w:p w14:paraId="01DC164B">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（五）协调区级党政群机关各部门职能配置及其调整；研究拟订区级各部门以及区级各部门与片区（街道）、乡（镇）有关事权划分和职责分工的意见。</w:t>
      </w:r>
    </w:p>
    <w:p w14:paraId="734FE414">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六）研究提出区级党政机关，人大、政协、法院、检察院机关，各民主党派、人民团体机关的机构设置和人员编制、领导职数的工作建议；执行片区（街道）、乡（镇）机构设置、编制分类及人员编制总额相关规定。</w:t>
      </w:r>
    </w:p>
    <w:p w14:paraId="5AEDD33F">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（七）研究提出全区各事业单位的机构设置、职责任务、人员编制、领导职数、编制结构及经费开支渠道的工作建议；承担事业单位分类改革和机构编制管理工作。</w:t>
      </w:r>
    </w:p>
    <w:p w14:paraId="70CDEBBB">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（八）贯彻执行事业单位登记管理办法；承担权限内事业单位登记管理工作及机关、群团等机构的统一社会信用代码赋码发证工作；依法对全区事业单位登记管理工作进行监督检查。</w:t>
      </w:r>
    </w:p>
    <w:p w14:paraId="26D94897">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（九）负责全区党政群机关、事业单位机构编制实名制管理及统计工作；协调全区机构编制信息化建设工作；负责协调全区党政群机关、事业单位网上中文域名注册管理工作。</w:t>
      </w:r>
    </w:p>
    <w:p w14:paraId="78C292CE">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（十）负责行政管理体制改革、机构改革和机构编制管理的信息收集工作；负责全区机构编制系统干部的培训工作。</w:t>
      </w:r>
    </w:p>
    <w:p w14:paraId="5B86F3C0">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（十一）承办区委和区委机构编制委员会交办的其他事项。</w:t>
      </w:r>
    </w:p>
    <w:p w14:paraId="634203F6">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二、机构设置及人员情况</w:t>
      </w:r>
    </w:p>
    <w:p w14:paraId="769ECDD4">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中共乌鲁木齐市达坂城区委员会机构编制委员会办公室2024年度，实有人数4人，其中：在职人员3人，减少1人；离休人员0人，较上年无变化；退休人员1人，增加1人。</w:t>
      </w:r>
    </w:p>
    <w:p w14:paraId="454B3993">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中共乌鲁木齐市达坂城区委员会机构编制委员会办公室无下属预算单位，下设1个科室，分别是：办公室。</w:t>
      </w:r>
    </w:p>
    <w:p w14:paraId="71EC841B">
      <w:pPr>
        <w:rPr>
          <w:rFonts w:hint="eastAsia"/>
          <w:lang w:eastAsia="zh-CN"/>
        </w:rPr>
      </w:pPr>
      <w:r>
        <w:rPr>
          <w:sz w:val="0"/>
          <w:szCs w:val="0"/>
          <w:lang w:eastAsia="zh-CN"/>
        </w:rPr>
        <w:br w:type="page"/>
      </w:r>
    </w:p>
    <w:p w14:paraId="1994F97F">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第二部分 部门决算情况说明</w:t>
      </w:r>
    </w:p>
    <w:p w14:paraId="03343004">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一、收入支出决算总体情况说明</w:t>
      </w:r>
    </w:p>
    <w:p w14:paraId="0422C9BF">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2024年度收入总计76.92万元，其中：本年收入合计76.92万元，使用非财政拨款结余（含专用结余）0.00万元，年初结转和结余0.00万元。</w:t>
      </w:r>
    </w:p>
    <w:p w14:paraId="45A25205">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2024年度支出总计76.92万元，其中：本年支出合计76.91万元，结余分配0.00万元，年末结转和结余0.01万元。</w:t>
      </w:r>
    </w:p>
    <w:p w14:paraId="7F316C09">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收入支出总体与上年相比，减少4.90万元，下降5.99%，主要原因是：</w:t>
      </w:r>
      <w:r>
        <w:rPr>
          <w:rFonts w:hint="eastAsia" w:ascii="仿宋_GB2312" w:eastAsia="仿宋_GB2312"/>
          <w:sz w:val="32"/>
          <w:szCs w:val="32"/>
          <w:lang w:eastAsia="zh-CN"/>
        </w:rPr>
        <w:t>单位在职人员减少，人员工资、津补贴等人员经费较上年减少</w:t>
      </w:r>
      <w:r>
        <w:rPr>
          <w:rFonts w:ascii="仿宋_GB2312" w:eastAsia="仿宋_GB2312"/>
          <w:sz w:val="32"/>
          <w:szCs w:val="32"/>
          <w:lang w:eastAsia="zh-CN"/>
        </w:rPr>
        <w:t>。</w:t>
      </w:r>
    </w:p>
    <w:p w14:paraId="260A8B35">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二、收入决算情况说明</w:t>
      </w:r>
    </w:p>
    <w:p w14:paraId="7D8B467E">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本年收入76.92万元，其中：财政拨款收入76.91万元,占99.99%；上级补助收入0.00万元,占0.00%；事业收入0.00万元，占0.00%；经营收入0.00万元,占0.00%；附属单位上缴收入0.00万元，占0.00%；其他收入0.01万元，占0.01%。</w:t>
      </w:r>
    </w:p>
    <w:p w14:paraId="631C5299">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三、支出决算情况说明</w:t>
      </w:r>
    </w:p>
    <w:p w14:paraId="5099971D">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本年支出76.91万元，其中：基本支出76.91万元，占100.00%；项目支出0.00万元，占0.00%；上缴上级支出0.00万元，占0.00%；经营支出0.00万元，占0.00%；对附属单位补助支出0.00万元，占0.00%。</w:t>
      </w:r>
    </w:p>
    <w:p w14:paraId="2F472414">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四、财政拨款收入支出决算总体情况说明</w:t>
      </w:r>
    </w:p>
    <w:p w14:paraId="573FE65C">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2024年度财政拨款收入总计76.91万元，其中：年初财政拨款结转和结余0.00万元，本年财政拨款收入76.91万元。财政拨款支出总计76.91万元，其中：年末财政拨款结转和结余0.00万元，本年财政拨款支出76.91万元。</w:t>
      </w:r>
    </w:p>
    <w:p w14:paraId="4975421F">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财政拨款收入支出总体与上年相比，减少4.85万元，下降5.93%，主要原因是：</w:t>
      </w:r>
      <w:r>
        <w:rPr>
          <w:rFonts w:hint="eastAsia" w:ascii="仿宋_GB2312" w:eastAsia="仿宋_GB2312"/>
          <w:sz w:val="32"/>
          <w:szCs w:val="32"/>
          <w:lang w:eastAsia="zh-CN"/>
        </w:rPr>
        <w:t>单位在职人员减少，人员工资、津补贴等人员经费较上年减少</w:t>
      </w:r>
      <w:r>
        <w:rPr>
          <w:rFonts w:ascii="仿宋_GB2312" w:eastAsia="仿宋_GB2312"/>
          <w:sz w:val="32"/>
          <w:szCs w:val="32"/>
          <w:lang w:eastAsia="zh-CN"/>
        </w:rPr>
        <w:t>。与年初预算相比，年初预算数72.98万元，决算数76.91万元，预决算差异率5.39%，主要原因是：</w:t>
      </w:r>
      <w:r>
        <w:rPr>
          <w:rFonts w:hint="eastAsia" w:ascii="仿宋_GB2312" w:eastAsia="仿宋_GB2312"/>
          <w:sz w:val="32"/>
          <w:szCs w:val="32"/>
          <w:lang w:eastAsia="zh-CN"/>
        </w:rPr>
        <w:t>本年单位退休1人，年中追加退休人员职业年金缴费</w:t>
      </w:r>
      <w:r>
        <w:rPr>
          <w:rFonts w:ascii="仿宋_GB2312" w:eastAsia="仿宋_GB2312"/>
          <w:sz w:val="32"/>
          <w:szCs w:val="32"/>
          <w:lang w:eastAsia="zh-CN"/>
        </w:rPr>
        <w:t>。</w:t>
      </w:r>
    </w:p>
    <w:p w14:paraId="32766BEA">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五、一般公共预算财政拨款支出决算情况说明</w:t>
      </w:r>
    </w:p>
    <w:p w14:paraId="0416C2E2">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（一）一般公共预算财政拨款支出决算总体情况</w:t>
      </w:r>
    </w:p>
    <w:p w14:paraId="783F0787">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2024年度一般公共预算财政拨款支出76.91万元，占本年支出合计的100.00%。与上年相比，减少0.53万元，下降0.68%，主要原因是：</w:t>
      </w:r>
      <w:r>
        <w:rPr>
          <w:rFonts w:hint="eastAsia" w:ascii="仿宋_GB2312" w:eastAsia="仿宋_GB2312"/>
          <w:sz w:val="32"/>
          <w:szCs w:val="32"/>
          <w:lang w:eastAsia="zh-CN"/>
        </w:rPr>
        <w:t>单位在职人员减少，人员工资、津补贴等人员经费较上年减少</w:t>
      </w:r>
      <w:r>
        <w:rPr>
          <w:rFonts w:ascii="仿宋_GB2312" w:eastAsia="仿宋_GB2312"/>
          <w:sz w:val="32"/>
          <w:szCs w:val="32"/>
          <w:lang w:eastAsia="zh-CN"/>
        </w:rPr>
        <w:t>。与年初预算相比，年初预算数72.98万元，决算数76.91万元，预决算差异率5.39%，主要原因是：</w:t>
      </w:r>
      <w:r>
        <w:rPr>
          <w:rFonts w:hint="eastAsia" w:ascii="仿宋_GB2312" w:eastAsia="仿宋_GB2312"/>
          <w:sz w:val="32"/>
          <w:szCs w:val="32"/>
          <w:lang w:eastAsia="zh-CN"/>
        </w:rPr>
        <w:t>本年单位退休1人，年中追加退休人员职业年金缴费</w:t>
      </w:r>
      <w:r>
        <w:rPr>
          <w:rFonts w:ascii="仿宋_GB2312" w:eastAsia="仿宋_GB2312"/>
          <w:sz w:val="32"/>
          <w:szCs w:val="32"/>
          <w:lang w:eastAsia="zh-CN"/>
        </w:rPr>
        <w:t>。</w:t>
      </w:r>
    </w:p>
    <w:p w14:paraId="2510C56C">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（二）一般公共预算财政拨款支出决算结构情况</w:t>
      </w:r>
    </w:p>
    <w:p w14:paraId="0F7291FC">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一般公共服务支出（类）69.93万元，占90.92%。</w:t>
      </w:r>
    </w:p>
    <w:p w14:paraId="39572A8B">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2.</w:t>
      </w:r>
      <w:r>
        <w:rPr>
          <w:rFonts w:ascii="仿宋_GB2312" w:eastAsia="仿宋_GB2312"/>
          <w:sz w:val="32"/>
          <w:szCs w:val="32"/>
          <w:lang w:eastAsia="zh-CN"/>
        </w:rPr>
        <w:t>社会保障和就业支出（类）6.98万元，占9.08%。</w:t>
      </w:r>
    </w:p>
    <w:p w14:paraId="6007E099">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（三）一般公共预算财政拨款支出决算具体情况</w:t>
      </w:r>
    </w:p>
    <w:p w14:paraId="2940401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1、一般公共服务支出（类）党委办公厅（室）及相关机构事务（款）行政运行（项）：支出决算数为8.44万元，比上年决算增加8.44万元，增长</w:t>
      </w:r>
      <w:r>
        <w:rPr>
          <w:rFonts w:hint="eastAsia" w:ascii="仿宋_GB2312" w:eastAsia="仿宋_GB2312"/>
          <w:sz w:val="32"/>
          <w:szCs w:val="32"/>
          <w:lang w:eastAsia="zh-CN"/>
        </w:rPr>
        <w:t>10</w:t>
      </w:r>
      <w:r>
        <w:rPr>
          <w:rFonts w:ascii="仿宋_GB2312" w:eastAsia="仿宋_GB2312"/>
          <w:sz w:val="32"/>
          <w:szCs w:val="32"/>
          <w:lang w:eastAsia="zh-CN"/>
        </w:rPr>
        <w:t>0.00%，主要原因是：</w:t>
      </w:r>
      <w:r>
        <w:rPr>
          <w:rFonts w:hint="eastAsia" w:ascii="仿宋_GB2312" w:eastAsia="仿宋_GB2312"/>
          <w:sz w:val="32"/>
          <w:szCs w:val="32"/>
          <w:lang w:eastAsia="zh-CN"/>
        </w:rPr>
        <w:t>本年单位退休1人，增加退休人员职业年金缴费</w:t>
      </w:r>
      <w:r>
        <w:rPr>
          <w:rFonts w:ascii="仿宋_GB2312" w:eastAsia="仿宋_GB2312"/>
          <w:sz w:val="32"/>
          <w:szCs w:val="32"/>
          <w:lang w:eastAsia="zh-CN"/>
        </w:rPr>
        <w:t>。</w:t>
      </w:r>
    </w:p>
    <w:p w14:paraId="20E6E15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2、一般公共服务支出（类）组织事务（款）行政运行（项）：支出决算数为34.07万元，比上年决算减少0.61万元，下降1.76%，主要原因是：</w:t>
      </w:r>
      <w:r>
        <w:rPr>
          <w:rFonts w:hint="eastAsia" w:ascii="仿宋_GB2312" w:eastAsia="仿宋_GB2312"/>
          <w:sz w:val="32"/>
          <w:szCs w:val="32"/>
          <w:lang w:eastAsia="zh-CN"/>
        </w:rPr>
        <w:t>本年</w:t>
      </w:r>
      <w:r>
        <w:rPr>
          <w:rFonts w:ascii="仿宋_GB2312" w:eastAsia="仿宋_GB2312"/>
          <w:sz w:val="32"/>
          <w:szCs w:val="32"/>
          <w:lang w:eastAsia="zh-CN"/>
        </w:rPr>
        <w:t>单位办公用品</w:t>
      </w:r>
      <w:r>
        <w:rPr>
          <w:rFonts w:hint="eastAsia" w:ascii="仿宋_GB2312" w:eastAsia="仿宋_GB2312"/>
          <w:sz w:val="32"/>
          <w:szCs w:val="32"/>
          <w:lang w:eastAsia="zh-CN"/>
        </w:rPr>
        <w:t>经费较上年减少</w:t>
      </w:r>
      <w:r>
        <w:rPr>
          <w:rFonts w:ascii="仿宋_GB2312" w:eastAsia="仿宋_GB2312"/>
          <w:sz w:val="32"/>
          <w:szCs w:val="32"/>
          <w:lang w:eastAsia="zh-CN"/>
        </w:rPr>
        <w:t>。</w:t>
      </w:r>
    </w:p>
    <w:p w14:paraId="546052B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3、一般公共服务支出（类）组织事务（款）事业运行（项）：支出决算数为27.43万元，比上年决算减少8.95万元，下降24.60%，主要原因是：</w:t>
      </w:r>
      <w:r>
        <w:rPr>
          <w:rFonts w:hint="eastAsia" w:ascii="仿宋_GB2312" w:eastAsia="仿宋_GB2312"/>
          <w:sz w:val="32"/>
          <w:szCs w:val="32"/>
          <w:lang w:eastAsia="zh-CN"/>
        </w:rPr>
        <w:t>单位在职人员减少，人员工资、津补贴等人员经费较上年减少</w:t>
      </w:r>
      <w:r>
        <w:rPr>
          <w:rFonts w:ascii="仿宋_GB2312" w:eastAsia="仿宋_GB2312"/>
          <w:sz w:val="32"/>
          <w:szCs w:val="32"/>
          <w:lang w:eastAsia="zh-CN"/>
        </w:rPr>
        <w:t>。</w:t>
      </w:r>
    </w:p>
    <w:p w14:paraId="0E51736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4、社会保障和就业支出（类）行政事业单位养老支出（款）机关事业单位基本养老保险缴费支出（项）：支出决算数为6.98万元，比上年决算增加0.60万元，增长9.40%，主要原因是：</w:t>
      </w:r>
      <w:r>
        <w:rPr>
          <w:rFonts w:hint="eastAsia" w:ascii="仿宋_GB2312" w:eastAsia="仿宋_GB2312"/>
          <w:sz w:val="32"/>
          <w:szCs w:val="32"/>
          <w:lang w:eastAsia="zh-CN"/>
        </w:rPr>
        <w:t>单位社保缴费基数调增，人员</w:t>
      </w:r>
      <w:r>
        <w:rPr>
          <w:rFonts w:ascii="仿宋_GB2312" w:eastAsia="仿宋_GB2312"/>
          <w:sz w:val="32"/>
          <w:szCs w:val="32"/>
          <w:lang w:eastAsia="zh-CN"/>
        </w:rPr>
        <w:t>养老保险缴费</w:t>
      </w:r>
      <w:r>
        <w:rPr>
          <w:rFonts w:hint="eastAsia" w:ascii="仿宋_GB2312" w:eastAsia="仿宋_GB2312"/>
          <w:sz w:val="32"/>
          <w:szCs w:val="32"/>
          <w:lang w:eastAsia="zh-CN"/>
        </w:rPr>
        <w:t>增加</w:t>
      </w:r>
      <w:r>
        <w:rPr>
          <w:rFonts w:ascii="仿宋_GB2312" w:eastAsia="仿宋_GB2312"/>
          <w:sz w:val="32"/>
          <w:szCs w:val="32"/>
          <w:lang w:eastAsia="zh-CN"/>
        </w:rPr>
        <w:t>。</w:t>
      </w:r>
    </w:p>
    <w:p w14:paraId="65C5BA44">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六、一般公共预算财政拨款基本支出决算情况说明</w:t>
      </w:r>
    </w:p>
    <w:p w14:paraId="6D87C035">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一般公共预算财政拨款基本支出76.91万元，其中：人员经费72.04万元，包括：基本工资、津贴补贴、奖金、绩效工资、机关事业单位基本养老保险缴费、职业年金缴费、职工基本医疗保险缴费、公务员医疗补助缴费、其他社会保障缴费、住房公积金和退休费。</w:t>
      </w:r>
    </w:p>
    <w:p w14:paraId="0BE5949D">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公用经费4.87万元，包括：办公费、邮电费、工会经费、福利费、其他交通费用、办公设备购置和信息网络及软件购置更新。</w:t>
      </w:r>
    </w:p>
    <w:p w14:paraId="0182F91F">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七、政府性基金预算财政拨款收入支出决算情况说明</w:t>
      </w:r>
    </w:p>
    <w:p w14:paraId="189BC293">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本单位本年度无政府性基金预算财政拨款收入、支出及结转和结余，政府性基金预算财政拨款收入支出决算表为空表。</w:t>
      </w:r>
    </w:p>
    <w:p w14:paraId="2A84509B">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八、国有资本经营预算财政拨款收入支出决算情况说明</w:t>
      </w:r>
    </w:p>
    <w:p w14:paraId="31150910">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本单位本年度无国有资本经营预算财政拨款收入、支出及结转和结余，国有资本经营预算财政拨款收入支出决算表为空表。</w:t>
      </w:r>
    </w:p>
    <w:p w14:paraId="0F09763B">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九、财政拨款“三公”经费支出决算情况说明</w:t>
      </w:r>
    </w:p>
    <w:p w14:paraId="7909753B">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2024年度财政拨款“三公”经费支出0.00万元，与上年相比无变化，主要原因是：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。其中：因公出国（境）费支出0.00万元,占0.00%，与上年相比无变化，主要原因是：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；公务用车购置及运行维护费支出0.00万元，占0.00%，与上年相比无变化，主要原因是：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；公务接待费支出0.00万元，占0.00%，与上年相比无变化，主要原因是：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w:t>
      </w:r>
    </w:p>
    <w:p w14:paraId="7AE35F0A">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具体情况如下：</w:t>
      </w:r>
    </w:p>
    <w:p w14:paraId="7FC1FBF0">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因公出国（境）费支出0.00万元，开支内容包括：</w:t>
      </w:r>
      <w:r>
        <w:rPr>
          <w:rFonts w:hint="eastAsia" w:ascii="仿宋_GB2312" w:eastAsia="仿宋_GB2312"/>
          <w:sz w:val="32"/>
          <w:szCs w:val="32"/>
          <w:lang w:eastAsia="zh-CN"/>
        </w:rPr>
        <w:t>单位本年无</w:t>
      </w:r>
      <w:r>
        <w:rPr>
          <w:rFonts w:ascii="仿宋_GB2312" w:eastAsia="仿宋_GB2312"/>
          <w:sz w:val="32"/>
          <w:szCs w:val="32"/>
          <w:lang w:eastAsia="zh-CN"/>
        </w:rPr>
        <w:t>因公出国（境）费。单位全年安排的因公出国（境）团组0个，因公出国（境）0人次。</w:t>
      </w:r>
    </w:p>
    <w:p w14:paraId="4FEB2963">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公务用车购置及运行维护费0.00万元，其中：公务用车购置费0.00万元，公务用车运行维护费0.00万元。公务用车运行维护费开支内容包括：</w:t>
      </w:r>
      <w:bookmarkStart w:id="0" w:name="_Hlk207140356"/>
      <w:r>
        <w:rPr>
          <w:rFonts w:hint="eastAsia" w:ascii="仿宋_GB2312" w:eastAsia="仿宋_GB2312"/>
          <w:sz w:val="32"/>
          <w:szCs w:val="32"/>
          <w:lang w:eastAsia="zh-CN"/>
        </w:rPr>
        <w:t>单位本年无</w:t>
      </w:r>
      <w:r>
        <w:rPr>
          <w:rFonts w:ascii="仿宋_GB2312" w:eastAsia="仿宋_GB2312"/>
          <w:sz w:val="32"/>
          <w:szCs w:val="32"/>
          <w:lang w:eastAsia="zh-CN"/>
        </w:rPr>
        <w:t>公务用车</w:t>
      </w:r>
      <w:bookmarkStart w:id="3" w:name="_GoBack"/>
      <w:bookmarkEnd w:id="3"/>
      <w:r>
        <w:rPr>
          <w:rFonts w:ascii="仿宋_GB2312" w:eastAsia="仿宋_GB2312"/>
          <w:sz w:val="32"/>
          <w:szCs w:val="32"/>
          <w:lang w:eastAsia="zh-CN"/>
        </w:rPr>
        <w:t>运行维护费</w:t>
      </w:r>
      <w:bookmarkEnd w:id="0"/>
      <w:r>
        <w:rPr>
          <w:rFonts w:ascii="仿宋_GB2312" w:eastAsia="仿宋_GB2312"/>
          <w:sz w:val="32"/>
          <w:szCs w:val="32"/>
          <w:lang w:eastAsia="zh-CN"/>
        </w:rPr>
        <w:t>。公务用车购置数0辆，公务用车保有量0辆。国有资产占用情况中固定资产车辆0辆，与公务用车保有量差异原因是：</w:t>
      </w:r>
      <w:r>
        <w:rPr>
          <w:rFonts w:hint="eastAsia" w:ascii="仿宋_GB2312" w:eastAsia="仿宋_GB2312"/>
          <w:sz w:val="32"/>
          <w:szCs w:val="32"/>
          <w:lang w:eastAsia="zh-CN"/>
        </w:rPr>
        <w:t>本单位固定资产车辆与公务用车保有量一致无差异</w:t>
      </w:r>
      <w:r>
        <w:rPr>
          <w:rFonts w:ascii="仿宋_GB2312" w:eastAsia="仿宋_GB2312"/>
          <w:sz w:val="32"/>
          <w:szCs w:val="32"/>
          <w:lang w:eastAsia="zh-CN"/>
        </w:rPr>
        <w:t>。</w:t>
      </w:r>
    </w:p>
    <w:p w14:paraId="0B9F96E8">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公务接待费0.00万元，开支内容包括：本单位无公务接待费。单位全年安排的国内公务接待0批次，0人次。</w:t>
      </w:r>
    </w:p>
    <w:p w14:paraId="046CF0E4">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与全年预算相比，财政拨款“三公”经费支出全年预算数0.00万元，决算数0.00万元，预决算差异率0.00%，主要原因是：</w:t>
      </w:r>
      <w:bookmarkStart w:id="1" w:name="_Hlk207142995"/>
      <w:r>
        <w:rPr>
          <w:rFonts w:hint="eastAsia" w:ascii="仿宋_GB2312" w:eastAsia="仿宋_GB2312"/>
          <w:sz w:val="32"/>
          <w:szCs w:val="32"/>
          <w:lang w:eastAsia="zh-CN"/>
        </w:rPr>
        <w:t>严格按照预算执行，预决算对比无差异</w:t>
      </w:r>
      <w:bookmarkEnd w:id="1"/>
      <w:r>
        <w:rPr>
          <w:rFonts w:ascii="仿宋_GB2312" w:eastAsia="仿宋_GB2312"/>
          <w:sz w:val="32"/>
          <w:szCs w:val="32"/>
          <w:lang w:eastAsia="zh-CN"/>
        </w:rPr>
        <w:t>。其中：因公出国（境）费全年预算数0.00万元，决算数0.00万元，预决算差异率0.00%，主要原因是：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；公务用车购置费全年预算数0.00万元，决算数0.00万元，预决算差异率0.00%，主要原因是：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；公务用车运行维护费全年预算数0.00万元，决算数0.00万元，预决算差异率0.00%，主要原因是：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；公务接待费全年预算数0.00万元，决算数0.00万元，预决算差异率0.00%，主要原因是：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w:t>
      </w:r>
    </w:p>
    <w:p w14:paraId="62620D8E">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十、其他重要事项的情况说明</w:t>
      </w:r>
    </w:p>
    <w:p w14:paraId="66AED94D">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（一）机关运行经费及公用经费支出情况</w:t>
      </w:r>
    </w:p>
    <w:p w14:paraId="5CD33B35">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2024年度中共乌鲁木齐市达坂城区委员会机构编制委员会办公室单位（行政单位和参照公务员法管理事业单位）机关运行经费支出4.87万元，比上年减少0.43万元，下降8.11%，主要原因是：</w:t>
      </w:r>
      <w:r>
        <w:rPr>
          <w:rFonts w:hint="eastAsia" w:ascii="仿宋_GB2312" w:eastAsia="仿宋_GB2312"/>
          <w:sz w:val="32"/>
          <w:szCs w:val="32"/>
          <w:lang w:eastAsia="zh-CN"/>
        </w:rPr>
        <w:t>本年单位办公经费、</w:t>
      </w:r>
      <w:r>
        <w:rPr>
          <w:rFonts w:ascii="仿宋_GB2312" w:eastAsia="仿宋_GB2312"/>
          <w:sz w:val="32"/>
          <w:szCs w:val="32"/>
          <w:lang w:eastAsia="zh-CN"/>
        </w:rPr>
        <w:t>邮电费</w:t>
      </w:r>
      <w:r>
        <w:rPr>
          <w:rFonts w:hint="eastAsia" w:ascii="仿宋_GB2312" w:eastAsia="仿宋_GB2312"/>
          <w:sz w:val="32"/>
          <w:szCs w:val="32"/>
          <w:lang w:eastAsia="zh-CN"/>
        </w:rPr>
        <w:t>等较上年减少</w:t>
      </w:r>
      <w:r>
        <w:rPr>
          <w:rFonts w:ascii="仿宋_GB2312" w:eastAsia="仿宋_GB2312"/>
          <w:sz w:val="32"/>
          <w:szCs w:val="32"/>
          <w:lang w:eastAsia="zh-CN"/>
        </w:rPr>
        <w:t>。</w:t>
      </w:r>
    </w:p>
    <w:p w14:paraId="2E935119">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（二）政府采购情况</w:t>
      </w:r>
    </w:p>
    <w:p w14:paraId="649AF4B0">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2024年度政府采购支出总额0.00万元，其中：政府采购货物支出0.00万元、政府采购工程支出0.00万元、政府采购服务支出0.00万元。</w:t>
      </w:r>
    </w:p>
    <w:p w14:paraId="27A9DE27">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授予中小企业合同金额0.00万元，占政府采购支出总额的0.00%，其中：授予小微企业合同金额0.00万元，占政府采购支出总额的0.00%。</w:t>
      </w:r>
    </w:p>
    <w:p w14:paraId="3ABC4C52">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（三）国有资产占用情况说明</w:t>
      </w:r>
    </w:p>
    <w:p w14:paraId="64C8AA92">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rPr>
        <w:t>截至2024年12月31日，房屋0.00平方米，价值0.00万元。</w:t>
      </w:r>
      <w:r>
        <w:rPr>
          <w:rFonts w:ascii="仿宋_GB2312" w:eastAsia="仿宋_GB2312"/>
          <w:sz w:val="32"/>
          <w:szCs w:val="32"/>
          <w:lang w:eastAsia="zh-CN"/>
        </w:rPr>
        <w:t>车辆0辆，价值0.00万元，其中：副部（省）级及以上领导用车0辆、主要负责人用车0辆、机要通信用车0辆、应急保障用车0辆、执法执勤用车0辆、特种专业技术用车0辆、离退休干部服务用车0辆、其他用车0辆，其他用车主要是：单位无其他用车;单价100万元（含）以上设备（不含车辆）0台（套）。</w:t>
      </w:r>
    </w:p>
    <w:p w14:paraId="01449981">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十一、预算绩效的情况说明</w:t>
      </w:r>
    </w:p>
    <w:p w14:paraId="3FC1A402">
      <w:pPr>
        <w:spacing w:after="0" w:line="240" w:lineRule="auto"/>
        <w:ind w:firstLine="640" w:firstLineChars="200"/>
        <w:jc w:val="both"/>
        <w:rPr>
          <w:rFonts w:hint="eastAsia" w:ascii="宋体" w:hAnsi="宋体" w:eastAsia="宋体" w:cs="宋体"/>
          <w:b/>
          <w:bCs/>
          <w:sz w:val="18"/>
          <w:szCs w:val="18"/>
          <w:lang w:eastAsia="zh-CN"/>
        </w:rPr>
      </w:pPr>
      <w:r>
        <w:rPr>
          <w:rFonts w:ascii="仿宋_GB2312" w:eastAsia="仿宋_GB2312"/>
          <w:sz w:val="32"/>
          <w:szCs w:val="32"/>
          <w:lang w:eastAsia="zh-CN"/>
        </w:rPr>
        <w:t>根据预算绩效管理要求，本单位2024年度预算绩效管理形成整体支出绩效自评表1个，全年预算总额76.92万元，实际执行总额76.91万元；预算绩效评价项目0个，全年预算数0.00万元，全年执行数0.00万元。预算绩效管理取得的成效：一是办理事业单位法人年度报告、法人变更、设立、注销登记；业务培训；事业单位法人履职调研支出。规范事业单位登记管理，保障事业单位合法权益，发挥事业单位在社会主义物质文明和精神文明建设中的作用，依照国家有关法律规定登记管理，事业单位实行分级登记管理；二是推进机构编制法制化建设，严格执行全区机构编制条例，规范机构编制管理规程。做好全区机构编制实名制信息管理系统信息录入、调整等业务工作，完成机构编制统计、分析、上报工作。完成2024年度国家机构改革任务。发现的问题及原因：一是我单位部分绩效指标设置存在不够精简、指标数据无法统计和指标值设置过低等问题，部分项目绩效指标值设定为定性的指标，指标设置的科学性、合理性有待进一步提高；二是抽查发现，各单位固定资产账务管理普遍存在入账不及时、漏入、入账信息、金额不准确或资产台账未登记到具体使用人等问题。下一步改进措施：一是以规章规则的形式，出台绩效管理制度，对绩效管理的目的、意义、性质和特点，以及组织实施绩效管理的程序、步骤、方法、原则和要求进行统一的规定；二是合理设置年度任务。提高各处室对部门中长期规划的重视程度，增强相关规划的落地性、导向性；三是探索符合部门工作特点的评价指标体系。在设定绩效目标时选取相关性强的量化指标，并注重选取符合实际工作情况的指标值。具体附部门整体支出绩效自评表。</w:t>
      </w:r>
      <w:bookmarkStart w:id="2" w:name="_Hlk174962300"/>
    </w:p>
    <w:p w14:paraId="02BDB8C6">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部门（单位）整体支出绩效目标自评表</w:t>
      </w:r>
    </w:p>
    <w:p w14:paraId="43662CEA">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2"/>
        <w:tblW w:w="9935" w:type="dxa"/>
        <w:tblInd w:w="-601" w:type="dxa"/>
        <w:tblLayout w:type="fixed"/>
        <w:tblCellMar>
          <w:top w:w="0" w:type="dxa"/>
          <w:left w:w="108" w:type="dxa"/>
          <w:bottom w:w="0" w:type="dxa"/>
          <w:right w:w="108" w:type="dxa"/>
        </w:tblCellMar>
      </w:tblPr>
      <w:tblGrid>
        <w:gridCol w:w="993"/>
        <w:gridCol w:w="1417"/>
        <w:gridCol w:w="1418"/>
        <w:gridCol w:w="1276"/>
        <w:gridCol w:w="1701"/>
        <w:gridCol w:w="1134"/>
        <w:gridCol w:w="992"/>
        <w:gridCol w:w="720"/>
        <w:gridCol w:w="284"/>
      </w:tblGrid>
      <w:tr w14:paraId="468D9761">
        <w:tblPrEx>
          <w:tblCellMar>
            <w:top w:w="0" w:type="dxa"/>
            <w:left w:w="108" w:type="dxa"/>
            <w:bottom w:w="0" w:type="dxa"/>
            <w:right w:w="108" w:type="dxa"/>
          </w:tblCellMar>
        </w:tblPrEx>
        <w:trPr>
          <w:cantSplit/>
          <w:trHeight w:val="660"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41D5F490">
            <w:pPr>
              <w:jc w:val="center"/>
              <w:rPr>
                <w:rFonts w:hint="eastAsia" w:ascii="宋体" w:hAnsi="宋体" w:eastAsia="宋体" w:cs="宋体"/>
                <w:b/>
                <w:bCs/>
                <w:sz w:val="18"/>
                <w:szCs w:val="18"/>
              </w:rPr>
            </w:pPr>
            <w:r>
              <w:rPr>
                <w:rFonts w:hint="eastAsia" w:ascii="宋体" w:hAnsi="宋体" w:eastAsia="宋体" w:cs="宋体"/>
                <w:b/>
                <w:bCs/>
                <w:sz w:val="18"/>
                <w:szCs w:val="18"/>
              </w:rPr>
              <w:t>部门（单位）名称</w:t>
            </w:r>
          </w:p>
        </w:tc>
        <w:tc>
          <w:tcPr>
            <w:tcW w:w="8658" w:type="dxa"/>
            <w:gridSpan w:val="7"/>
            <w:tcBorders>
              <w:top w:val="single" w:color="auto" w:sz="4" w:space="0"/>
              <w:left w:val="nil"/>
              <w:bottom w:val="single" w:color="auto" w:sz="4" w:space="0"/>
              <w:right w:val="single" w:color="auto" w:sz="4" w:space="0"/>
            </w:tcBorders>
            <w:noWrap/>
            <w:vAlign w:val="center"/>
          </w:tcPr>
          <w:p w14:paraId="481403D7">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中共乌鲁木齐市达坂城区委员会机构编制委员会办公室</w:t>
            </w:r>
          </w:p>
        </w:tc>
        <w:tc>
          <w:tcPr>
            <w:tcW w:w="284" w:type="dxa"/>
            <w:tcBorders>
              <w:top w:val="nil"/>
              <w:left w:val="nil"/>
              <w:bottom w:val="nil"/>
              <w:right w:val="nil"/>
            </w:tcBorders>
            <w:noWrap/>
            <w:vAlign w:val="center"/>
          </w:tcPr>
          <w:p w14:paraId="42E42C8B">
            <w:pPr>
              <w:rPr>
                <w:rFonts w:hint="eastAsia" w:ascii="宋体" w:hAnsi="宋体" w:eastAsia="宋体" w:cs="宋体"/>
                <w:b/>
                <w:bCs/>
                <w:sz w:val="18"/>
                <w:szCs w:val="18"/>
                <w:lang w:eastAsia="zh-CN"/>
              </w:rPr>
            </w:pPr>
          </w:p>
        </w:tc>
      </w:tr>
      <w:tr w14:paraId="24BED38F">
        <w:tblPrEx>
          <w:tblCellMar>
            <w:top w:w="0" w:type="dxa"/>
            <w:left w:w="108" w:type="dxa"/>
            <w:bottom w:w="0" w:type="dxa"/>
            <w:right w:w="108" w:type="dxa"/>
          </w:tblCellMar>
        </w:tblPrEx>
        <w:trPr>
          <w:cantSplit/>
          <w:trHeight w:val="570"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40F537A2">
            <w:pPr>
              <w:jc w:val="center"/>
              <w:rPr>
                <w:rFonts w:hint="eastAsia" w:ascii="宋体" w:hAnsi="宋体" w:eastAsia="宋体" w:cs="宋体"/>
                <w:b/>
                <w:bCs/>
                <w:sz w:val="18"/>
                <w:szCs w:val="18"/>
              </w:rPr>
            </w:pPr>
            <w:r>
              <w:rPr>
                <w:rFonts w:hint="eastAsia" w:ascii="宋体" w:hAnsi="宋体" w:eastAsia="宋体" w:cs="宋体"/>
                <w:b/>
                <w:bCs/>
                <w:sz w:val="18"/>
                <w:szCs w:val="18"/>
              </w:rPr>
              <w:t>部门资金（万元）</w:t>
            </w:r>
          </w:p>
        </w:tc>
        <w:tc>
          <w:tcPr>
            <w:tcW w:w="1417" w:type="dxa"/>
            <w:tcBorders>
              <w:top w:val="nil"/>
              <w:left w:val="nil"/>
              <w:bottom w:val="single" w:color="auto" w:sz="4" w:space="0"/>
              <w:right w:val="single" w:color="auto" w:sz="4" w:space="0"/>
            </w:tcBorders>
            <w:vAlign w:val="center"/>
          </w:tcPr>
          <w:p w14:paraId="1A642210">
            <w:pPr>
              <w:jc w:val="center"/>
              <w:rPr>
                <w:rFonts w:hint="eastAsia" w:ascii="宋体" w:hAnsi="宋体" w:eastAsia="宋体" w:cs="宋体"/>
                <w:b/>
                <w:bCs/>
                <w:sz w:val="18"/>
                <w:szCs w:val="18"/>
              </w:rPr>
            </w:pPr>
            <w:r>
              <w:rPr>
                <w:rFonts w:hint="eastAsia" w:ascii="宋体" w:hAnsi="宋体" w:eastAsia="宋体" w:cs="宋体"/>
                <w:b/>
                <w:bCs/>
                <w:sz w:val="18"/>
                <w:szCs w:val="18"/>
              </w:rPr>
              <w:t>资金来源</w:t>
            </w:r>
          </w:p>
        </w:tc>
        <w:tc>
          <w:tcPr>
            <w:tcW w:w="1418" w:type="dxa"/>
            <w:tcBorders>
              <w:top w:val="nil"/>
              <w:left w:val="nil"/>
              <w:bottom w:val="single" w:color="auto" w:sz="4" w:space="0"/>
              <w:right w:val="single" w:color="auto" w:sz="4" w:space="0"/>
            </w:tcBorders>
            <w:vAlign w:val="center"/>
          </w:tcPr>
          <w:p w14:paraId="0E7B7BFC">
            <w:pPr>
              <w:jc w:val="center"/>
              <w:rPr>
                <w:rFonts w:hint="eastAsia" w:ascii="宋体" w:hAnsi="宋体" w:eastAsia="宋体" w:cs="宋体"/>
                <w:b/>
                <w:bCs/>
                <w:sz w:val="18"/>
                <w:szCs w:val="18"/>
              </w:rPr>
            </w:pPr>
            <w:r>
              <w:rPr>
                <w:rFonts w:hint="eastAsia" w:ascii="宋体" w:hAnsi="宋体" w:eastAsia="宋体" w:cs="宋体"/>
                <w:b/>
                <w:bCs/>
                <w:sz w:val="18"/>
                <w:szCs w:val="18"/>
              </w:rPr>
              <w:t>年初预算数</w:t>
            </w:r>
          </w:p>
        </w:tc>
        <w:tc>
          <w:tcPr>
            <w:tcW w:w="1276" w:type="dxa"/>
            <w:tcBorders>
              <w:top w:val="nil"/>
              <w:left w:val="nil"/>
              <w:bottom w:val="single" w:color="auto" w:sz="4" w:space="0"/>
              <w:right w:val="single" w:color="auto" w:sz="4" w:space="0"/>
            </w:tcBorders>
            <w:vAlign w:val="center"/>
          </w:tcPr>
          <w:p w14:paraId="3250208E">
            <w:pPr>
              <w:jc w:val="center"/>
              <w:rPr>
                <w:rFonts w:hint="eastAsia" w:ascii="宋体" w:hAnsi="宋体" w:eastAsia="宋体" w:cs="宋体"/>
                <w:b/>
                <w:bCs/>
                <w:sz w:val="18"/>
                <w:szCs w:val="18"/>
              </w:rPr>
            </w:pPr>
            <w:r>
              <w:rPr>
                <w:rFonts w:hint="eastAsia" w:ascii="宋体" w:hAnsi="宋体" w:eastAsia="宋体" w:cs="宋体"/>
                <w:b/>
                <w:bCs/>
                <w:sz w:val="18"/>
                <w:szCs w:val="18"/>
              </w:rPr>
              <w:t>全年预算数</w:t>
            </w:r>
          </w:p>
        </w:tc>
        <w:tc>
          <w:tcPr>
            <w:tcW w:w="1701" w:type="dxa"/>
            <w:tcBorders>
              <w:top w:val="nil"/>
              <w:left w:val="nil"/>
              <w:bottom w:val="single" w:color="auto" w:sz="4" w:space="0"/>
              <w:right w:val="single" w:color="auto" w:sz="4" w:space="0"/>
            </w:tcBorders>
            <w:vAlign w:val="center"/>
          </w:tcPr>
          <w:p w14:paraId="46FDAF4B">
            <w:pPr>
              <w:jc w:val="center"/>
              <w:rPr>
                <w:rFonts w:hint="eastAsia" w:ascii="宋体" w:hAnsi="宋体" w:eastAsia="宋体" w:cs="宋体"/>
                <w:b/>
                <w:bCs/>
                <w:sz w:val="18"/>
                <w:szCs w:val="18"/>
              </w:rPr>
            </w:pPr>
            <w:r>
              <w:rPr>
                <w:rFonts w:hint="eastAsia" w:ascii="宋体" w:hAnsi="宋体" w:eastAsia="宋体" w:cs="宋体"/>
                <w:b/>
                <w:bCs/>
                <w:sz w:val="18"/>
                <w:szCs w:val="18"/>
              </w:rPr>
              <w:t>全年执行数</w:t>
            </w:r>
          </w:p>
        </w:tc>
        <w:tc>
          <w:tcPr>
            <w:tcW w:w="1134" w:type="dxa"/>
            <w:tcBorders>
              <w:top w:val="nil"/>
              <w:left w:val="nil"/>
              <w:bottom w:val="single" w:color="auto" w:sz="4" w:space="0"/>
              <w:right w:val="single" w:color="auto" w:sz="4" w:space="0"/>
            </w:tcBorders>
            <w:vAlign w:val="center"/>
          </w:tcPr>
          <w:p w14:paraId="0D3AA392">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992" w:type="dxa"/>
            <w:tcBorders>
              <w:top w:val="nil"/>
              <w:left w:val="nil"/>
              <w:bottom w:val="single" w:color="auto" w:sz="4" w:space="0"/>
              <w:right w:val="single" w:color="auto" w:sz="4" w:space="0"/>
            </w:tcBorders>
            <w:vAlign w:val="center"/>
          </w:tcPr>
          <w:p w14:paraId="1DA1CAEB">
            <w:pPr>
              <w:jc w:val="center"/>
              <w:rPr>
                <w:rFonts w:hint="eastAsia" w:ascii="宋体" w:hAnsi="宋体" w:eastAsia="宋体" w:cs="宋体"/>
                <w:b/>
                <w:bCs/>
                <w:sz w:val="18"/>
                <w:szCs w:val="18"/>
              </w:rPr>
            </w:pPr>
            <w:r>
              <w:rPr>
                <w:rFonts w:hint="eastAsia" w:ascii="宋体" w:hAnsi="宋体" w:eastAsia="宋体" w:cs="宋体"/>
                <w:b/>
                <w:bCs/>
                <w:sz w:val="18"/>
                <w:szCs w:val="18"/>
              </w:rPr>
              <w:t>执行率</w:t>
            </w:r>
          </w:p>
        </w:tc>
        <w:tc>
          <w:tcPr>
            <w:tcW w:w="720" w:type="dxa"/>
            <w:tcBorders>
              <w:top w:val="nil"/>
              <w:left w:val="nil"/>
              <w:bottom w:val="single" w:color="auto" w:sz="4" w:space="0"/>
              <w:right w:val="single" w:color="auto" w:sz="4" w:space="0"/>
            </w:tcBorders>
            <w:vAlign w:val="center"/>
          </w:tcPr>
          <w:p w14:paraId="62F259A8">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c>
          <w:tcPr>
            <w:tcW w:w="284" w:type="dxa"/>
            <w:tcBorders>
              <w:top w:val="nil"/>
              <w:left w:val="nil"/>
              <w:bottom w:val="nil"/>
              <w:right w:val="nil"/>
            </w:tcBorders>
            <w:noWrap/>
            <w:vAlign w:val="center"/>
          </w:tcPr>
          <w:p w14:paraId="06667C65">
            <w:pPr>
              <w:jc w:val="center"/>
              <w:rPr>
                <w:rFonts w:hint="eastAsia" w:ascii="宋体" w:hAnsi="宋体" w:eastAsia="宋体" w:cs="宋体"/>
                <w:b/>
                <w:bCs/>
                <w:sz w:val="18"/>
                <w:szCs w:val="18"/>
              </w:rPr>
            </w:pPr>
          </w:p>
        </w:tc>
      </w:tr>
      <w:tr w14:paraId="4A081346">
        <w:tblPrEx>
          <w:tblCellMar>
            <w:top w:w="0" w:type="dxa"/>
            <w:left w:w="108" w:type="dxa"/>
            <w:bottom w:w="0" w:type="dxa"/>
            <w:right w:w="108" w:type="dxa"/>
          </w:tblCellMar>
        </w:tblPrEx>
        <w:trPr>
          <w:cantSplit/>
          <w:trHeight w:val="489"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47C6D683">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noWrap/>
            <w:vAlign w:val="center"/>
          </w:tcPr>
          <w:p w14:paraId="322036F5">
            <w:pPr>
              <w:jc w:val="center"/>
              <w:rPr>
                <w:rFonts w:hint="eastAsia" w:ascii="宋体" w:hAnsi="宋体" w:eastAsia="宋体" w:cs="宋体"/>
                <w:b/>
                <w:bCs/>
                <w:sz w:val="18"/>
                <w:szCs w:val="18"/>
              </w:rPr>
            </w:pPr>
            <w:r>
              <w:rPr>
                <w:rFonts w:hint="eastAsia" w:ascii="宋体" w:hAnsi="宋体" w:eastAsia="宋体" w:cs="宋体"/>
                <w:b/>
                <w:bCs/>
                <w:sz w:val="18"/>
                <w:szCs w:val="18"/>
              </w:rPr>
              <w:t>年度总资金</w:t>
            </w:r>
          </w:p>
        </w:tc>
        <w:tc>
          <w:tcPr>
            <w:tcW w:w="1418" w:type="dxa"/>
            <w:tcBorders>
              <w:top w:val="nil"/>
              <w:left w:val="nil"/>
              <w:bottom w:val="single" w:color="auto" w:sz="4" w:space="0"/>
              <w:right w:val="single" w:color="auto" w:sz="4" w:space="0"/>
            </w:tcBorders>
            <w:vAlign w:val="center"/>
          </w:tcPr>
          <w:p w14:paraId="18E926E7">
            <w:pPr>
              <w:jc w:val="center"/>
              <w:rPr>
                <w:rFonts w:hint="eastAsia" w:ascii="宋体" w:hAnsi="宋体" w:eastAsia="宋体" w:cs="宋体"/>
                <w:sz w:val="18"/>
                <w:szCs w:val="18"/>
              </w:rPr>
            </w:pPr>
            <w:r>
              <w:rPr>
                <w:rFonts w:hint="eastAsia" w:ascii="宋体" w:hAnsi="宋体" w:eastAsia="宋体" w:cs="宋体"/>
                <w:sz w:val="18"/>
                <w:szCs w:val="18"/>
              </w:rPr>
              <w:t>72.99</w:t>
            </w:r>
          </w:p>
        </w:tc>
        <w:tc>
          <w:tcPr>
            <w:tcW w:w="1276" w:type="dxa"/>
            <w:tcBorders>
              <w:top w:val="nil"/>
              <w:left w:val="nil"/>
              <w:bottom w:val="single" w:color="auto" w:sz="4" w:space="0"/>
              <w:right w:val="single" w:color="auto" w:sz="4" w:space="0"/>
            </w:tcBorders>
            <w:vAlign w:val="center"/>
          </w:tcPr>
          <w:p w14:paraId="438633D9">
            <w:pPr>
              <w:jc w:val="center"/>
              <w:rPr>
                <w:rFonts w:hint="eastAsia" w:ascii="宋体" w:hAnsi="宋体" w:eastAsia="宋体" w:cs="宋体"/>
                <w:sz w:val="18"/>
                <w:szCs w:val="18"/>
              </w:rPr>
            </w:pPr>
            <w:r>
              <w:rPr>
                <w:rFonts w:hint="eastAsia" w:ascii="宋体" w:hAnsi="宋体" w:eastAsia="宋体" w:cs="宋体"/>
                <w:sz w:val="18"/>
                <w:szCs w:val="18"/>
              </w:rPr>
              <w:t>76.92</w:t>
            </w:r>
          </w:p>
        </w:tc>
        <w:tc>
          <w:tcPr>
            <w:tcW w:w="1701" w:type="dxa"/>
            <w:tcBorders>
              <w:top w:val="nil"/>
              <w:left w:val="nil"/>
              <w:bottom w:val="single" w:color="auto" w:sz="4" w:space="0"/>
              <w:right w:val="single" w:color="auto" w:sz="4" w:space="0"/>
            </w:tcBorders>
            <w:vAlign w:val="center"/>
          </w:tcPr>
          <w:p w14:paraId="0E7FF410">
            <w:pPr>
              <w:jc w:val="center"/>
              <w:rPr>
                <w:rFonts w:hint="eastAsia" w:ascii="宋体" w:hAnsi="宋体" w:eastAsia="宋体" w:cs="宋体"/>
                <w:sz w:val="18"/>
                <w:szCs w:val="18"/>
              </w:rPr>
            </w:pPr>
            <w:r>
              <w:rPr>
                <w:rFonts w:hint="eastAsia" w:ascii="宋体" w:hAnsi="宋体" w:eastAsia="宋体" w:cs="宋体"/>
                <w:sz w:val="18"/>
                <w:szCs w:val="18"/>
              </w:rPr>
              <w:t>76.91</w:t>
            </w:r>
          </w:p>
        </w:tc>
        <w:tc>
          <w:tcPr>
            <w:tcW w:w="1134" w:type="dxa"/>
            <w:tcBorders>
              <w:top w:val="nil"/>
              <w:left w:val="nil"/>
              <w:bottom w:val="single" w:color="auto" w:sz="4" w:space="0"/>
              <w:right w:val="single" w:color="auto" w:sz="4" w:space="0"/>
            </w:tcBorders>
            <w:vAlign w:val="center"/>
          </w:tcPr>
          <w:p w14:paraId="5DC2B053">
            <w:pPr>
              <w:jc w:val="center"/>
              <w:rPr>
                <w:rFonts w:hint="eastAsia" w:ascii="宋体" w:hAnsi="宋体" w:eastAsia="宋体" w:cs="宋体"/>
                <w:sz w:val="18"/>
                <w:szCs w:val="18"/>
              </w:rPr>
            </w:pPr>
            <w:r>
              <w:rPr>
                <w:rFonts w:hint="eastAsia" w:ascii="宋体" w:hAnsi="宋体" w:eastAsia="宋体" w:cs="宋体"/>
                <w:sz w:val="18"/>
                <w:szCs w:val="18"/>
              </w:rPr>
              <w:t>10</w:t>
            </w:r>
          </w:p>
        </w:tc>
        <w:tc>
          <w:tcPr>
            <w:tcW w:w="992" w:type="dxa"/>
            <w:tcBorders>
              <w:top w:val="nil"/>
              <w:left w:val="nil"/>
              <w:bottom w:val="single" w:color="auto" w:sz="4" w:space="0"/>
              <w:right w:val="single" w:color="auto" w:sz="4" w:space="0"/>
            </w:tcBorders>
            <w:vAlign w:val="center"/>
          </w:tcPr>
          <w:p w14:paraId="10F347EE">
            <w:pPr>
              <w:jc w:val="center"/>
              <w:rPr>
                <w:rFonts w:hint="eastAsia" w:ascii="宋体" w:hAnsi="宋体" w:eastAsia="宋体" w:cs="宋体"/>
                <w:sz w:val="18"/>
                <w:szCs w:val="18"/>
              </w:rPr>
            </w:pPr>
            <w:r>
              <w:rPr>
                <w:rFonts w:hint="eastAsia" w:ascii="宋体" w:hAnsi="宋体" w:eastAsia="宋体" w:cs="宋体"/>
                <w:sz w:val="18"/>
                <w:szCs w:val="18"/>
              </w:rPr>
              <w:t>99.99%</w:t>
            </w:r>
          </w:p>
        </w:tc>
        <w:tc>
          <w:tcPr>
            <w:tcW w:w="720" w:type="dxa"/>
            <w:tcBorders>
              <w:top w:val="nil"/>
              <w:left w:val="nil"/>
              <w:bottom w:val="single" w:color="auto" w:sz="4" w:space="0"/>
              <w:right w:val="single" w:color="auto" w:sz="4" w:space="0"/>
            </w:tcBorders>
            <w:vAlign w:val="center"/>
          </w:tcPr>
          <w:p w14:paraId="601B3EE4">
            <w:pPr>
              <w:jc w:val="center"/>
              <w:rPr>
                <w:rFonts w:hint="eastAsia" w:ascii="宋体" w:hAnsi="宋体" w:eastAsia="宋体" w:cs="宋体"/>
                <w:sz w:val="18"/>
                <w:szCs w:val="18"/>
              </w:rPr>
            </w:pPr>
            <w:r>
              <w:rPr>
                <w:rFonts w:hint="eastAsia" w:ascii="宋体" w:hAnsi="宋体" w:eastAsia="宋体" w:cs="宋体"/>
                <w:sz w:val="18"/>
                <w:szCs w:val="18"/>
              </w:rPr>
              <w:t>9.99</w:t>
            </w:r>
          </w:p>
        </w:tc>
        <w:tc>
          <w:tcPr>
            <w:tcW w:w="284" w:type="dxa"/>
            <w:tcBorders>
              <w:top w:val="nil"/>
              <w:left w:val="nil"/>
              <w:bottom w:val="nil"/>
              <w:right w:val="nil"/>
            </w:tcBorders>
            <w:noWrap/>
            <w:vAlign w:val="center"/>
          </w:tcPr>
          <w:p w14:paraId="10488AF8">
            <w:pPr>
              <w:jc w:val="center"/>
              <w:rPr>
                <w:rFonts w:hint="eastAsia" w:ascii="宋体" w:hAnsi="宋体" w:eastAsia="宋体" w:cs="宋体"/>
                <w:b/>
                <w:bCs/>
                <w:sz w:val="18"/>
                <w:szCs w:val="18"/>
              </w:rPr>
            </w:pPr>
          </w:p>
        </w:tc>
      </w:tr>
      <w:tr w14:paraId="1A0A0CAE">
        <w:tblPrEx>
          <w:tblCellMar>
            <w:top w:w="0" w:type="dxa"/>
            <w:left w:w="108" w:type="dxa"/>
            <w:bottom w:w="0" w:type="dxa"/>
            <w:right w:w="108" w:type="dxa"/>
          </w:tblCellMar>
        </w:tblPrEx>
        <w:trPr>
          <w:cantSplit/>
          <w:trHeight w:val="42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2D853B3">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300FC9C1">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其中:上级资金（万元）</w:t>
            </w:r>
          </w:p>
        </w:tc>
        <w:tc>
          <w:tcPr>
            <w:tcW w:w="1418" w:type="dxa"/>
            <w:tcBorders>
              <w:top w:val="nil"/>
              <w:left w:val="nil"/>
              <w:bottom w:val="single" w:color="auto" w:sz="4" w:space="0"/>
              <w:right w:val="single" w:color="auto" w:sz="4" w:space="0"/>
            </w:tcBorders>
            <w:vAlign w:val="center"/>
          </w:tcPr>
          <w:p w14:paraId="68BBAEC7">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276" w:type="dxa"/>
            <w:tcBorders>
              <w:top w:val="nil"/>
              <w:left w:val="nil"/>
              <w:bottom w:val="single" w:color="auto" w:sz="4" w:space="0"/>
              <w:right w:val="single" w:color="auto" w:sz="4" w:space="0"/>
            </w:tcBorders>
            <w:vAlign w:val="center"/>
          </w:tcPr>
          <w:p w14:paraId="032CF4F1">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701" w:type="dxa"/>
            <w:tcBorders>
              <w:top w:val="nil"/>
              <w:left w:val="nil"/>
              <w:bottom w:val="single" w:color="auto" w:sz="4" w:space="0"/>
              <w:right w:val="single" w:color="auto" w:sz="4" w:space="0"/>
            </w:tcBorders>
            <w:vAlign w:val="center"/>
          </w:tcPr>
          <w:p w14:paraId="6EBD838F">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134" w:type="dxa"/>
            <w:tcBorders>
              <w:top w:val="nil"/>
              <w:left w:val="nil"/>
              <w:bottom w:val="single" w:color="auto" w:sz="4" w:space="0"/>
              <w:right w:val="single" w:color="auto" w:sz="4" w:space="0"/>
            </w:tcBorders>
            <w:vAlign w:val="center"/>
          </w:tcPr>
          <w:p w14:paraId="776D0620">
            <w:pPr>
              <w:jc w:val="center"/>
              <w:rPr>
                <w:rFonts w:hint="eastAsia" w:ascii="宋体" w:hAnsi="宋体" w:eastAsia="宋体" w:cs="宋体"/>
                <w:sz w:val="18"/>
                <w:szCs w:val="18"/>
              </w:rPr>
            </w:pPr>
            <w:r>
              <w:rPr>
                <w:rFonts w:hint="eastAsia" w:ascii="宋体" w:hAnsi="宋体" w:eastAsia="宋体"/>
                <w:sz w:val="18"/>
                <w:szCs w:val="18"/>
              </w:rPr>
              <w:t>-</w:t>
            </w:r>
          </w:p>
        </w:tc>
        <w:tc>
          <w:tcPr>
            <w:tcW w:w="992" w:type="dxa"/>
            <w:tcBorders>
              <w:top w:val="nil"/>
              <w:left w:val="nil"/>
              <w:bottom w:val="single" w:color="auto" w:sz="4" w:space="0"/>
              <w:right w:val="single" w:color="auto" w:sz="4" w:space="0"/>
            </w:tcBorders>
            <w:vAlign w:val="center"/>
          </w:tcPr>
          <w:p w14:paraId="2C90F03D">
            <w:pPr>
              <w:jc w:val="center"/>
              <w:rPr>
                <w:rFonts w:hint="eastAsia" w:ascii="宋体" w:hAnsi="宋体" w:eastAsia="宋体" w:cs="宋体"/>
                <w:sz w:val="18"/>
                <w:szCs w:val="18"/>
              </w:rPr>
            </w:pPr>
            <w:r>
              <w:rPr>
                <w:rFonts w:hint="eastAsia" w:ascii="宋体" w:hAnsi="宋体" w:eastAsia="宋体"/>
                <w:sz w:val="18"/>
                <w:szCs w:val="18"/>
              </w:rPr>
              <w:t>-</w:t>
            </w:r>
          </w:p>
        </w:tc>
        <w:tc>
          <w:tcPr>
            <w:tcW w:w="720" w:type="dxa"/>
            <w:tcBorders>
              <w:top w:val="nil"/>
              <w:left w:val="nil"/>
              <w:bottom w:val="single" w:color="auto" w:sz="4" w:space="0"/>
              <w:right w:val="single" w:color="auto" w:sz="4" w:space="0"/>
            </w:tcBorders>
            <w:vAlign w:val="center"/>
          </w:tcPr>
          <w:p w14:paraId="4F5D1C51">
            <w:pPr>
              <w:jc w:val="center"/>
              <w:rPr>
                <w:rFonts w:hint="eastAsia" w:ascii="宋体" w:hAnsi="宋体" w:eastAsia="宋体" w:cs="宋体"/>
                <w:sz w:val="18"/>
                <w:szCs w:val="18"/>
              </w:rPr>
            </w:pPr>
            <w:r>
              <w:rPr>
                <w:rFonts w:hint="eastAsia" w:ascii="宋体" w:hAnsi="宋体" w:eastAsia="宋体"/>
                <w:sz w:val="18"/>
                <w:szCs w:val="18"/>
              </w:rPr>
              <w:t>-</w:t>
            </w:r>
          </w:p>
        </w:tc>
        <w:tc>
          <w:tcPr>
            <w:tcW w:w="284" w:type="dxa"/>
            <w:tcBorders>
              <w:top w:val="nil"/>
              <w:left w:val="nil"/>
              <w:bottom w:val="nil"/>
              <w:right w:val="nil"/>
            </w:tcBorders>
            <w:noWrap/>
            <w:vAlign w:val="center"/>
          </w:tcPr>
          <w:p w14:paraId="42142631">
            <w:pPr>
              <w:jc w:val="center"/>
              <w:rPr>
                <w:rFonts w:hint="eastAsia" w:ascii="宋体" w:hAnsi="宋体" w:eastAsia="宋体" w:cs="宋体"/>
                <w:sz w:val="18"/>
                <w:szCs w:val="18"/>
              </w:rPr>
            </w:pPr>
          </w:p>
        </w:tc>
      </w:tr>
      <w:tr w14:paraId="243F0A44">
        <w:tblPrEx>
          <w:tblCellMar>
            <w:top w:w="0" w:type="dxa"/>
            <w:left w:w="108" w:type="dxa"/>
            <w:bottom w:w="0" w:type="dxa"/>
            <w:right w:w="108" w:type="dxa"/>
          </w:tblCellMar>
        </w:tblPrEx>
        <w:trPr>
          <w:cantSplit/>
          <w:trHeight w:val="281"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0E9531C0">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0CA2519E">
            <w:pPr>
              <w:jc w:val="center"/>
              <w:rPr>
                <w:rFonts w:hint="eastAsia" w:ascii="宋体" w:hAnsi="宋体" w:eastAsia="宋体" w:cs="宋体"/>
                <w:b/>
                <w:bCs/>
                <w:sz w:val="18"/>
                <w:szCs w:val="18"/>
              </w:rPr>
            </w:pPr>
            <w:r>
              <w:rPr>
                <w:rFonts w:hint="eastAsia" w:ascii="宋体" w:hAnsi="宋体" w:eastAsia="宋体" w:cs="宋体"/>
                <w:b/>
                <w:bCs/>
                <w:sz w:val="18"/>
                <w:szCs w:val="18"/>
              </w:rPr>
              <w:t>本级资金（万元）</w:t>
            </w:r>
          </w:p>
        </w:tc>
        <w:tc>
          <w:tcPr>
            <w:tcW w:w="1418" w:type="dxa"/>
            <w:tcBorders>
              <w:top w:val="nil"/>
              <w:left w:val="nil"/>
              <w:bottom w:val="single" w:color="auto" w:sz="4" w:space="0"/>
              <w:right w:val="single" w:color="auto" w:sz="4" w:space="0"/>
            </w:tcBorders>
            <w:vAlign w:val="center"/>
          </w:tcPr>
          <w:p w14:paraId="4A21DD16">
            <w:pPr>
              <w:jc w:val="center"/>
              <w:rPr>
                <w:rFonts w:hint="eastAsia" w:ascii="宋体" w:hAnsi="宋体" w:eastAsia="宋体" w:cs="宋体"/>
                <w:sz w:val="18"/>
                <w:szCs w:val="18"/>
              </w:rPr>
            </w:pPr>
            <w:r>
              <w:rPr>
                <w:rFonts w:hint="eastAsia" w:ascii="宋体" w:hAnsi="宋体" w:eastAsia="宋体" w:cs="宋体"/>
                <w:sz w:val="18"/>
                <w:szCs w:val="18"/>
              </w:rPr>
              <w:t>72.99</w:t>
            </w:r>
          </w:p>
        </w:tc>
        <w:tc>
          <w:tcPr>
            <w:tcW w:w="1276" w:type="dxa"/>
            <w:tcBorders>
              <w:top w:val="nil"/>
              <w:left w:val="nil"/>
              <w:bottom w:val="single" w:color="auto" w:sz="4" w:space="0"/>
              <w:right w:val="single" w:color="auto" w:sz="4" w:space="0"/>
            </w:tcBorders>
            <w:vAlign w:val="center"/>
          </w:tcPr>
          <w:p w14:paraId="102B61CC">
            <w:pPr>
              <w:jc w:val="center"/>
              <w:rPr>
                <w:rFonts w:hint="eastAsia" w:ascii="宋体" w:hAnsi="宋体" w:eastAsia="宋体" w:cs="宋体"/>
                <w:sz w:val="18"/>
                <w:szCs w:val="18"/>
              </w:rPr>
            </w:pPr>
            <w:r>
              <w:rPr>
                <w:rFonts w:hint="eastAsia" w:ascii="宋体" w:hAnsi="宋体" w:eastAsia="宋体" w:cs="宋体"/>
                <w:sz w:val="18"/>
                <w:szCs w:val="18"/>
              </w:rPr>
              <w:t>76.92</w:t>
            </w:r>
          </w:p>
        </w:tc>
        <w:tc>
          <w:tcPr>
            <w:tcW w:w="1701" w:type="dxa"/>
            <w:tcBorders>
              <w:top w:val="nil"/>
              <w:left w:val="nil"/>
              <w:bottom w:val="single" w:color="auto" w:sz="4" w:space="0"/>
              <w:right w:val="single" w:color="auto" w:sz="4" w:space="0"/>
            </w:tcBorders>
            <w:vAlign w:val="center"/>
          </w:tcPr>
          <w:p w14:paraId="6B53898D">
            <w:pPr>
              <w:jc w:val="center"/>
              <w:rPr>
                <w:rFonts w:hint="eastAsia" w:ascii="宋体" w:hAnsi="宋体" w:eastAsia="宋体" w:cs="宋体"/>
                <w:sz w:val="18"/>
                <w:szCs w:val="18"/>
              </w:rPr>
            </w:pPr>
            <w:r>
              <w:rPr>
                <w:rFonts w:hint="eastAsia" w:ascii="宋体" w:hAnsi="宋体" w:eastAsia="宋体" w:cs="宋体"/>
                <w:sz w:val="18"/>
                <w:szCs w:val="18"/>
              </w:rPr>
              <w:t>76.91</w:t>
            </w:r>
          </w:p>
        </w:tc>
        <w:tc>
          <w:tcPr>
            <w:tcW w:w="1134" w:type="dxa"/>
            <w:tcBorders>
              <w:top w:val="nil"/>
              <w:left w:val="nil"/>
              <w:bottom w:val="single" w:color="auto" w:sz="4" w:space="0"/>
              <w:right w:val="single" w:color="auto" w:sz="4" w:space="0"/>
            </w:tcBorders>
            <w:vAlign w:val="center"/>
          </w:tcPr>
          <w:p w14:paraId="7ED0DA22">
            <w:pPr>
              <w:jc w:val="center"/>
              <w:rPr>
                <w:rFonts w:hint="eastAsia" w:ascii="宋体" w:hAnsi="宋体" w:eastAsia="宋体" w:cs="宋体"/>
                <w:sz w:val="18"/>
                <w:szCs w:val="18"/>
              </w:rPr>
            </w:pPr>
            <w:r>
              <w:rPr>
                <w:rFonts w:hint="eastAsia" w:ascii="宋体" w:hAnsi="宋体" w:eastAsia="宋体"/>
                <w:sz w:val="18"/>
                <w:szCs w:val="18"/>
              </w:rPr>
              <w:t>-</w:t>
            </w:r>
          </w:p>
        </w:tc>
        <w:tc>
          <w:tcPr>
            <w:tcW w:w="992" w:type="dxa"/>
            <w:tcBorders>
              <w:top w:val="nil"/>
              <w:left w:val="nil"/>
              <w:bottom w:val="single" w:color="auto" w:sz="4" w:space="0"/>
              <w:right w:val="single" w:color="auto" w:sz="4" w:space="0"/>
            </w:tcBorders>
            <w:vAlign w:val="center"/>
          </w:tcPr>
          <w:p w14:paraId="2D4D4A8E">
            <w:pPr>
              <w:jc w:val="center"/>
              <w:rPr>
                <w:rFonts w:hint="eastAsia" w:ascii="宋体" w:hAnsi="宋体" w:eastAsia="宋体" w:cs="宋体"/>
                <w:sz w:val="18"/>
                <w:szCs w:val="18"/>
              </w:rPr>
            </w:pPr>
            <w:r>
              <w:rPr>
                <w:rFonts w:hint="eastAsia" w:ascii="宋体" w:hAnsi="宋体" w:eastAsia="宋体"/>
                <w:sz w:val="18"/>
                <w:szCs w:val="18"/>
              </w:rPr>
              <w:t>-</w:t>
            </w:r>
          </w:p>
        </w:tc>
        <w:tc>
          <w:tcPr>
            <w:tcW w:w="720" w:type="dxa"/>
            <w:tcBorders>
              <w:top w:val="nil"/>
              <w:left w:val="nil"/>
              <w:bottom w:val="single" w:color="auto" w:sz="4" w:space="0"/>
              <w:right w:val="single" w:color="auto" w:sz="4" w:space="0"/>
            </w:tcBorders>
            <w:vAlign w:val="center"/>
          </w:tcPr>
          <w:p w14:paraId="0931FB56">
            <w:pPr>
              <w:jc w:val="center"/>
              <w:rPr>
                <w:rFonts w:hint="eastAsia" w:ascii="宋体" w:hAnsi="宋体" w:eastAsia="宋体" w:cs="宋体"/>
                <w:sz w:val="18"/>
                <w:szCs w:val="18"/>
              </w:rPr>
            </w:pPr>
            <w:r>
              <w:rPr>
                <w:rFonts w:hint="eastAsia" w:ascii="宋体" w:hAnsi="宋体" w:eastAsia="宋体"/>
                <w:sz w:val="18"/>
                <w:szCs w:val="18"/>
              </w:rPr>
              <w:t>-</w:t>
            </w:r>
          </w:p>
        </w:tc>
        <w:tc>
          <w:tcPr>
            <w:tcW w:w="284" w:type="dxa"/>
            <w:tcBorders>
              <w:top w:val="nil"/>
              <w:left w:val="nil"/>
              <w:bottom w:val="nil"/>
              <w:right w:val="nil"/>
            </w:tcBorders>
            <w:noWrap/>
            <w:vAlign w:val="center"/>
          </w:tcPr>
          <w:p w14:paraId="5D83CC3C">
            <w:pPr>
              <w:jc w:val="center"/>
              <w:rPr>
                <w:rFonts w:hint="eastAsia" w:ascii="宋体" w:hAnsi="宋体" w:eastAsia="宋体" w:cs="宋体"/>
                <w:sz w:val="18"/>
                <w:szCs w:val="18"/>
              </w:rPr>
            </w:pPr>
          </w:p>
        </w:tc>
      </w:tr>
      <w:tr w14:paraId="6813F18B">
        <w:tblPrEx>
          <w:tblCellMar>
            <w:top w:w="0" w:type="dxa"/>
            <w:left w:w="108" w:type="dxa"/>
            <w:bottom w:w="0" w:type="dxa"/>
            <w:right w:w="108" w:type="dxa"/>
          </w:tblCellMar>
        </w:tblPrEx>
        <w:trPr>
          <w:cantSplit/>
          <w:trHeight w:val="373"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21799ED5">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51CF19D5">
            <w:pPr>
              <w:jc w:val="center"/>
              <w:rPr>
                <w:rFonts w:hint="eastAsia" w:ascii="宋体" w:hAnsi="宋体" w:eastAsia="宋体" w:cs="宋体"/>
                <w:b/>
                <w:bCs/>
                <w:sz w:val="18"/>
                <w:szCs w:val="18"/>
              </w:rPr>
            </w:pPr>
            <w:r>
              <w:rPr>
                <w:rFonts w:hint="eastAsia" w:ascii="宋体" w:hAnsi="宋体" w:eastAsia="宋体" w:cs="宋体"/>
                <w:b/>
                <w:bCs/>
                <w:sz w:val="18"/>
                <w:szCs w:val="18"/>
              </w:rPr>
              <w:t>其他资金（万元）</w:t>
            </w:r>
          </w:p>
        </w:tc>
        <w:tc>
          <w:tcPr>
            <w:tcW w:w="1418" w:type="dxa"/>
            <w:tcBorders>
              <w:top w:val="nil"/>
              <w:left w:val="nil"/>
              <w:bottom w:val="single" w:color="auto" w:sz="4" w:space="0"/>
              <w:right w:val="single" w:color="auto" w:sz="4" w:space="0"/>
            </w:tcBorders>
            <w:vAlign w:val="center"/>
          </w:tcPr>
          <w:p w14:paraId="111EF306">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276" w:type="dxa"/>
            <w:tcBorders>
              <w:top w:val="nil"/>
              <w:left w:val="nil"/>
              <w:bottom w:val="single" w:color="auto" w:sz="4" w:space="0"/>
              <w:right w:val="single" w:color="auto" w:sz="4" w:space="0"/>
            </w:tcBorders>
            <w:vAlign w:val="center"/>
          </w:tcPr>
          <w:p w14:paraId="6B5DDD35">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701" w:type="dxa"/>
            <w:tcBorders>
              <w:top w:val="nil"/>
              <w:left w:val="nil"/>
              <w:bottom w:val="single" w:color="auto" w:sz="4" w:space="0"/>
              <w:right w:val="single" w:color="auto" w:sz="4" w:space="0"/>
            </w:tcBorders>
            <w:vAlign w:val="center"/>
          </w:tcPr>
          <w:p w14:paraId="0AFC24A8">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134" w:type="dxa"/>
            <w:tcBorders>
              <w:top w:val="nil"/>
              <w:left w:val="nil"/>
              <w:bottom w:val="single" w:color="auto" w:sz="4" w:space="0"/>
              <w:right w:val="single" w:color="auto" w:sz="4" w:space="0"/>
            </w:tcBorders>
            <w:vAlign w:val="center"/>
          </w:tcPr>
          <w:p w14:paraId="0616F1D0">
            <w:pPr>
              <w:jc w:val="center"/>
              <w:rPr>
                <w:rFonts w:hint="eastAsia" w:ascii="宋体" w:hAnsi="宋体" w:eastAsia="宋体" w:cs="宋体"/>
                <w:sz w:val="18"/>
                <w:szCs w:val="18"/>
              </w:rPr>
            </w:pPr>
            <w:r>
              <w:rPr>
                <w:rFonts w:hint="eastAsia" w:ascii="宋体" w:hAnsi="宋体" w:eastAsia="宋体" w:cs="宋体"/>
                <w:sz w:val="18"/>
                <w:szCs w:val="18"/>
              </w:rPr>
              <w:t>-</w:t>
            </w:r>
          </w:p>
        </w:tc>
        <w:tc>
          <w:tcPr>
            <w:tcW w:w="992" w:type="dxa"/>
            <w:tcBorders>
              <w:top w:val="nil"/>
              <w:left w:val="nil"/>
              <w:bottom w:val="single" w:color="auto" w:sz="4" w:space="0"/>
              <w:right w:val="single" w:color="auto" w:sz="4" w:space="0"/>
            </w:tcBorders>
            <w:vAlign w:val="center"/>
          </w:tcPr>
          <w:p w14:paraId="3947758E">
            <w:pPr>
              <w:jc w:val="center"/>
              <w:rPr>
                <w:rFonts w:hint="eastAsia" w:ascii="宋体" w:hAnsi="宋体" w:eastAsia="宋体" w:cs="宋体"/>
                <w:sz w:val="18"/>
                <w:szCs w:val="18"/>
              </w:rPr>
            </w:pPr>
            <w:r>
              <w:rPr>
                <w:rFonts w:hint="eastAsia" w:ascii="宋体" w:hAnsi="宋体" w:eastAsia="宋体" w:cs="宋体"/>
                <w:sz w:val="18"/>
                <w:szCs w:val="18"/>
              </w:rPr>
              <w:t>-</w:t>
            </w:r>
          </w:p>
        </w:tc>
        <w:tc>
          <w:tcPr>
            <w:tcW w:w="720" w:type="dxa"/>
            <w:tcBorders>
              <w:top w:val="nil"/>
              <w:left w:val="nil"/>
              <w:bottom w:val="single" w:color="auto" w:sz="4" w:space="0"/>
              <w:right w:val="single" w:color="auto" w:sz="4" w:space="0"/>
            </w:tcBorders>
            <w:vAlign w:val="center"/>
          </w:tcPr>
          <w:p w14:paraId="05759CE2">
            <w:pPr>
              <w:jc w:val="center"/>
              <w:rPr>
                <w:rFonts w:hint="eastAsia" w:ascii="宋体" w:hAnsi="宋体" w:eastAsia="宋体" w:cs="宋体"/>
                <w:sz w:val="18"/>
                <w:szCs w:val="18"/>
              </w:rPr>
            </w:pPr>
            <w:r>
              <w:rPr>
                <w:rFonts w:hint="eastAsia" w:ascii="宋体" w:hAnsi="宋体" w:eastAsia="宋体" w:cs="宋体"/>
                <w:sz w:val="18"/>
                <w:szCs w:val="18"/>
              </w:rPr>
              <w:t>-</w:t>
            </w:r>
          </w:p>
        </w:tc>
        <w:tc>
          <w:tcPr>
            <w:tcW w:w="284" w:type="dxa"/>
            <w:tcBorders>
              <w:top w:val="nil"/>
              <w:left w:val="nil"/>
              <w:bottom w:val="nil"/>
              <w:right w:val="nil"/>
            </w:tcBorders>
            <w:noWrap/>
            <w:vAlign w:val="center"/>
          </w:tcPr>
          <w:p w14:paraId="0C104AD8">
            <w:pPr>
              <w:jc w:val="center"/>
              <w:rPr>
                <w:rFonts w:hint="eastAsia" w:ascii="宋体" w:hAnsi="宋体" w:eastAsia="宋体" w:cs="宋体"/>
                <w:sz w:val="18"/>
                <w:szCs w:val="18"/>
              </w:rPr>
            </w:pPr>
          </w:p>
        </w:tc>
      </w:tr>
      <w:tr w14:paraId="12AE271E">
        <w:tblPrEx>
          <w:tblCellMar>
            <w:top w:w="0" w:type="dxa"/>
            <w:left w:w="108" w:type="dxa"/>
            <w:bottom w:w="0" w:type="dxa"/>
            <w:right w:w="108" w:type="dxa"/>
          </w:tblCellMar>
        </w:tblPrEx>
        <w:trPr>
          <w:cantSplit/>
          <w:trHeight w:val="341"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602660B9">
            <w:pPr>
              <w:jc w:val="center"/>
              <w:rPr>
                <w:rFonts w:hint="eastAsia" w:ascii="宋体" w:hAnsi="宋体" w:eastAsia="宋体" w:cs="宋体"/>
                <w:b/>
                <w:bCs/>
                <w:sz w:val="18"/>
                <w:szCs w:val="18"/>
              </w:rPr>
            </w:pPr>
            <w:r>
              <w:rPr>
                <w:rFonts w:hint="eastAsia" w:ascii="宋体" w:hAnsi="宋体" w:eastAsia="宋体" w:cs="宋体"/>
                <w:b/>
                <w:bCs/>
                <w:sz w:val="18"/>
                <w:szCs w:val="18"/>
              </w:rPr>
              <w:t>年度总体目标</w:t>
            </w:r>
          </w:p>
        </w:tc>
        <w:tc>
          <w:tcPr>
            <w:tcW w:w="4111" w:type="dxa"/>
            <w:gridSpan w:val="3"/>
            <w:tcBorders>
              <w:top w:val="single" w:color="auto" w:sz="4" w:space="0"/>
              <w:left w:val="nil"/>
              <w:bottom w:val="single" w:color="auto" w:sz="4" w:space="0"/>
              <w:right w:val="single" w:color="auto" w:sz="4" w:space="0"/>
            </w:tcBorders>
            <w:noWrap/>
            <w:vAlign w:val="center"/>
          </w:tcPr>
          <w:p w14:paraId="3B598362">
            <w:pPr>
              <w:jc w:val="center"/>
              <w:rPr>
                <w:rFonts w:hint="eastAsia" w:ascii="宋体" w:hAnsi="宋体" w:eastAsia="宋体" w:cs="宋体"/>
                <w:b/>
                <w:bCs/>
                <w:sz w:val="18"/>
                <w:szCs w:val="18"/>
              </w:rPr>
            </w:pPr>
            <w:r>
              <w:rPr>
                <w:rFonts w:hint="eastAsia" w:ascii="宋体" w:hAnsi="宋体" w:eastAsia="宋体" w:cs="宋体"/>
                <w:b/>
                <w:bCs/>
                <w:sz w:val="18"/>
                <w:szCs w:val="18"/>
              </w:rPr>
              <w:t>预期目标</w:t>
            </w:r>
          </w:p>
        </w:tc>
        <w:tc>
          <w:tcPr>
            <w:tcW w:w="4547" w:type="dxa"/>
            <w:gridSpan w:val="4"/>
            <w:tcBorders>
              <w:top w:val="single" w:color="auto" w:sz="4" w:space="0"/>
              <w:left w:val="nil"/>
              <w:bottom w:val="single" w:color="auto" w:sz="4" w:space="0"/>
              <w:right w:val="single" w:color="auto" w:sz="4" w:space="0"/>
            </w:tcBorders>
            <w:noWrap/>
            <w:vAlign w:val="center"/>
          </w:tcPr>
          <w:p w14:paraId="741208D6">
            <w:pPr>
              <w:jc w:val="center"/>
              <w:rPr>
                <w:rFonts w:hint="eastAsia" w:ascii="宋体" w:hAnsi="宋体" w:eastAsia="宋体" w:cs="宋体"/>
                <w:b/>
                <w:bCs/>
                <w:sz w:val="18"/>
                <w:szCs w:val="18"/>
              </w:rPr>
            </w:pPr>
            <w:r>
              <w:rPr>
                <w:rFonts w:hint="eastAsia" w:ascii="宋体" w:hAnsi="宋体" w:eastAsia="宋体" w:cs="宋体"/>
                <w:b/>
                <w:bCs/>
                <w:sz w:val="18"/>
                <w:szCs w:val="18"/>
              </w:rPr>
              <w:t>实际完成情况</w:t>
            </w:r>
          </w:p>
        </w:tc>
        <w:tc>
          <w:tcPr>
            <w:tcW w:w="284" w:type="dxa"/>
            <w:tcBorders>
              <w:top w:val="nil"/>
              <w:left w:val="nil"/>
              <w:bottom w:val="nil"/>
              <w:right w:val="nil"/>
            </w:tcBorders>
            <w:noWrap/>
            <w:vAlign w:val="center"/>
          </w:tcPr>
          <w:p w14:paraId="72E9E975">
            <w:pPr>
              <w:rPr>
                <w:rFonts w:hint="eastAsia" w:ascii="宋体" w:hAnsi="宋体" w:eastAsia="宋体" w:cs="宋体"/>
                <w:b/>
                <w:bCs/>
                <w:sz w:val="18"/>
                <w:szCs w:val="18"/>
              </w:rPr>
            </w:pPr>
          </w:p>
        </w:tc>
      </w:tr>
      <w:tr w14:paraId="3BAD092D">
        <w:tblPrEx>
          <w:tblCellMar>
            <w:top w:w="0" w:type="dxa"/>
            <w:left w:w="108" w:type="dxa"/>
            <w:bottom w:w="0" w:type="dxa"/>
            <w:right w:w="108" w:type="dxa"/>
          </w:tblCellMar>
        </w:tblPrEx>
        <w:trPr>
          <w:cantSplit/>
          <w:trHeight w:val="70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E1F55E2">
            <w:pPr>
              <w:rPr>
                <w:rFonts w:hint="eastAsia" w:ascii="宋体" w:hAnsi="宋体" w:eastAsia="宋体" w:cs="宋体"/>
                <w:b/>
                <w:bCs/>
                <w:sz w:val="18"/>
                <w:szCs w:val="18"/>
              </w:rPr>
            </w:pPr>
          </w:p>
        </w:tc>
        <w:tc>
          <w:tcPr>
            <w:tcW w:w="4111" w:type="dxa"/>
            <w:gridSpan w:val="3"/>
            <w:tcBorders>
              <w:top w:val="single" w:color="auto" w:sz="4" w:space="0"/>
              <w:left w:val="nil"/>
              <w:bottom w:val="single" w:color="auto" w:sz="4" w:space="0"/>
              <w:right w:val="single" w:color="auto" w:sz="4" w:space="0"/>
            </w:tcBorders>
          </w:tcPr>
          <w:p w14:paraId="532E8A7B">
            <w:pPr>
              <w:rPr>
                <w:rFonts w:hint="eastAsia" w:ascii="宋体" w:hAnsi="宋体" w:eastAsia="宋体" w:cs="宋体"/>
                <w:sz w:val="18"/>
                <w:szCs w:val="18"/>
              </w:rPr>
            </w:pPr>
            <w:r>
              <w:rPr>
                <w:rFonts w:hint="eastAsia" w:ascii="宋体" w:hAnsi="宋体" w:eastAsia="宋体" w:cs="宋体"/>
                <w:sz w:val="18"/>
                <w:szCs w:val="18"/>
                <w:lang w:eastAsia="zh-CN"/>
              </w:rPr>
              <w:t>办理事业单位法人年度报告、法人变更、设立、注销登记；业务培训；事业单位法人履职调研支出。规范事业单位登记管理，保障事业单位合法权益，发挥事业单位在社会主义物质文明和精神文明建设中的作用，依照国家有关法律规定登记管理，事业单位实行分级登记管理。推进机构编制法制化建设，严格执行全区机构编制条例，规范机构编制管理规程。做好全区机构编制实名制信息管理系统信息录入、调整等业务工作，完成机构编制统计、分析、上报工作。</w:t>
            </w:r>
            <w:r>
              <w:rPr>
                <w:rFonts w:hint="eastAsia" w:ascii="宋体" w:hAnsi="宋体" w:eastAsia="宋体" w:cs="宋体"/>
                <w:sz w:val="18"/>
                <w:szCs w:val="18"/>
              </w:rPr>
              <w:t>完成2024年度国家机构改革任务。</w:t>
            </w:r>
          </w:p>
        </w:tc>
        <w:tc>
          <w:tcPr>
            <w:tcW w:w="4547" w:type="dxa"/>
            <w:gridSpan w:val="4"/>
            <w:tcBorders>
              <w:top w:val="single" w:color="auto" w:sz="4" w:space="0"/>
              <w:left w:val="nil"/>
              <w:bottom w:val="single" w:color="auto" w:sz="4" w:space="0"/>
              <w:right w:val="single" w:color="auto" w:sz="4" w:space="0"/>
            </w:tcBorders>
          </w:tcPr>
          <w:p w14:paraId="3B83602F">
            <w:pPr>
              <w:rPr>
                <w:rFonts w:hint="eastAsia" w:ascii="宋体" w:hAnsi="宋体" w:eastAsia="宋体" w:cs="宋体"/>
                <w:sz w:val="18"/>
                <w:szCs w:val="18"/>
                <w:lang w:eastAsia="zh-CN"/>
              </w:rPr>
            </w:pPr>
            <w:r>
              <w:rPr>
                <w:rFonts w:hint="eastAsia" w:ascii="宋体" w:hAnsi="宋体" w:eastAsia="宋体" w:cs="宋体"/>
                <w:sz w:val="18"/>
                <w:szCs w:val="18"/>
                <w:lang w:eastAsia="zh-CN"/>
              </w:rPr>
              <w:t>办理事业单位法人年度报告222家、法人变更30家、设立4家、注销登记4家；开展业务培训2场次；开展事业单位法人履职调研1次。规范事业单位登记管理，保障事业单位合法权益，发挥事业单位在社会主义物质文明和精神文明建设中的作用，依照国家有关法律规定登记管理，事业单位实行分级登记管理。推进机构编制法制化建设，严格执行全区机构编制条例，规范机构编制管理规程。做好全区机构编制实名制信息管理系统信息录入、调整等业务工作，办理纳出编手续200余次，开具编单86份。完成机构编制统计、分析、上报工作。上报市机构编制信息中心台账4次。完成2024年度国家机构改革任务。审核履职事项清单8千余条。</w:t>
            </w:r>
          </w:p>
        </w:tc>
        <w:tc>
          <w:tcPr>
            <w:tcW w:w="284" w:type="dxa"/>
            <w:tcBorders>
              <w:top w:val="nil"/>
              <w:left w:val="nil"/>
              <w:bottom w:val="nil"/>
              <w:right w:val="nil"/>
            </w:tcBorders>
            <w:noWrap/>
            <w:vAlign w:val="center"/>
          </w:tcPr>
          <w:p w14:paraId="3A0DBA33">
            <w:pPr>
              <w:rPr>
                <w:rFonts w:hint="eastAsia" w:ascii="宋体" w:hAnsi="宋体" w:eastAsia="宋体" w:cs="宋体"/>
                <w:sz w:val="18"/>
                <w:szCs w:val="18"/>
                <w:lang w:eastAsia="zh-CN"/>
              </w:rPr>
            </w:pPr>
          </w:p>
        </w:tc>
      </w:tr>
      <w:tr w14:paraId="255F2822">
        <w:tblPrEx>
          <w:tblCellMar>
            <w:top w:w="0" w:type="dxa"/>
            <w:left w:w="108" w:type="dxa"/>
            <w:bottom w:w="0" w:type="dxa"/>
            <w:right w:w="108" w:type="dxa"/>
          </w:tblCellMar>
        </w:tblPrEx>
        <w:trPr>
          <w:cantSplit/>
          <w:trHeight w:val="716" w:hRule="atLeast"/>
        </w:trPr>
        <w:tc>
          <w:tcPr>
            <w:tcW w:w="993" w:type="dxa"/>
            <w:tcBorders>
              <w:top w:val="single" w:color="auto" w:sz="4" w:space="0"/>
              <w:left w:val="single" w:color="auto" w:sz="4" w:space="0"/>
              <w:bottom w:val="single" w:color="auto" w:sz="4" w:space="0"/>
              <w:right w:val="single" w:color="auto" w:sz="4" w:space="0"/>
            </w:tcBorders>
            <w:vAlign w:val="center"/>
          </w:tcPr>
          <w:p w14:paraId="7845C43C">
            <w:pPr>
              <w:jc w:val="center"/>
              <w:rPr>
                <w:rFonts w:hint="eastAsia" w:ascii="宋体" w:hAnsi="宋体" w:eastAsia="宋体" w:cs="宋体"/>
                <w:b/>
                <w:bCs/>
                <w:sz w:val="18"/>
                <w:szCs w:val="18"/>
              </w:rPr>
            </w:pPr>
            <w:r>
              <w:rPr>
                <w:rFonts w:hint="eastAsia" w:ascii="宋体" w:hAnsi="宋体" w:eastAsia="宋体" w:cs="宋体"/>
                <w:b/>
                <w:bCs/>
                <w:sz w:val="18"/>
                <w:szCs w:val="18"/>
              </w:rPr>
              <w:t>一级指标</w:t>
            </w:r>
          </w:p>
        </w:tc>
        <w:tc>
          <w:tcPr>
            <w:tcW w:w="1417" w:type="dxa"/>
            <w:tcBorders>
              <w:top w:val="nil"/>
              <w:left w:val="nil"/>
              <w:bottom w:val="single" w:color="auto" w:sz="4" w:space="0"/>
              <w:right w:val="single" w:color="auto" w:sz="4" w:space="0"/>
            </w:tcBorders>
            <w:vAlign w:val="center"/>
          </w:tcPr>
          <w:p w14:paraId="2786172D">
            <w:pPr>
              <w:jc w:val="center"/>
              <w:rPr>
                <w:rFonts w:hint="eastAsia" w:ascii="宋体" w:hAnsi="宋体" w:eastAsia="宋体" w:cs="宋体"/>
                <w:b/>
                <w:bCs/>
                <w:sz w:val="18"/>
                <w:szCs w:val="18"/>
              </w:rPr>
            </w:pPr>
            <w:r>
              <w:rPr>
                <w:rFonts w:hint="eastAsia" w:ascii="宋体" w:hAnsi="宋体" w:eastAsia="宋体" w:cs="宋体"/>
                <w:b/>
                <w:bCs/>
                <w:sz w:val="18"/>
                <w:szCs w:val="18"/>
              </w:rPr>
              <w:t>二级指标</w:t>
            </w:r>
          </w:p>
        </w:tc>
        <w:tc>
          <w:tcPr>
            <w:tcW w:w="1418" w:type="dxa"/>
            <w:tcBorders>
              <w:top w:val="nil"/>
              <w:left w:val="nil"/>
              <w:bottom w:val="single" w:color="auto" w:sz="4" w:space="0"/>
              <w:right w:val="single" w:color="auto" w:sz="4" w:space="0"/>
            </w:tcBorders>
            <w:vAlign w:val="center"/>
          </w:tcPr>
          <w:p w14:paraId="5E33EA0B">
            <w:pPr>
              <w:jc w:val="center"/>
              <w:rPr>
                <w:rFonts w:hint="eastAsia" w:ascii="宋体" w:hAnsi="宋体" w:eastAsia="宋体" w:cs="宋体"/>
                <w:b/>
                <w:bCs/>
                <w:sz w:val="18"/>
                <w:szCs w:val="18"/>
              </w:rPr>
            </w:pPr>
            <w:r>
              <w:rPr>
                <w:rFonts w:hint="eastAsia" w:ascii="宋体" w:hAnsi="宋体" w:eastAsia="宋体" w:cs="宋体"/>
                <w:b/>
                <w:bCs/>
                <w:sz w:val="18"/>
                <w:szCs w:val="18"/>
              </w:rPr>
              <w:t>三级指标</w:t>
            </w:r>
          </w:p>
        </w:tc>
        <w:tc>
          <w:tcPr>
            <w:tcW w:w="1276" w:type="dxa"/>
            <w:tcBorders>
              <w:top w:val="nil"/>
              <w:left w:val="nil"/>
              <w:bottom w:val="single" w:color="auto" w:sz="4" w:space="0"/>
              <w:right w:val="single" w:color="auto" w:sz="4" w:space="0"/>
            </w:tcBorders>
            <w:vAlign w:val="center"/>
          </w:tcPr>
          <w:p w14:paraId="08A699E4">
            <w:pPr>
              <w:jc w:val="center"/>
              <w:rPr>
                <w:rFonts w:hint="eastAsia" w:ascii="宋体" w:hAnsi="宋体" w:eastAsia="宋体" w:cs="宋体"/>
                <w:b/>
                <w:bCs/>
                <w:sz w:val="18"/>
                <w:szCs w:val="18"/>
              </w:rPr>
            </w:pPr>
            <w:r>
              <w:rPr>
                <w:rFonts w:hint="eastAsia" w:ascii="宋体" w:hAnsi="宋体" w:eastAsia="宋体" w:cs="宋体"/>
                <w:b/>
                <w:bCs/>
                <w:sz w:val="18"/>
                <w:szCs w:val="18"/>
              </w:rPr>
              <w:t>预期指标值</w:t>
            </w:r>
          </w:p>
        </w:tc>
        <w:tc>
          <w:tcPr>
            <w:tcW w:w="1701" w:type="dxa"/>
            <w:tcBorders>
              <w:top w:val="nil"/>
              <w:left w:val="nil"/>
              <w:bottom w:val="single" w:color="auto" w:sz="4" w:space="0"/>
              <w:right w:val="single" w:color="auto" w:sz="4" w:space="0"/>
            </w:tcBorders>
            <w:vAlign w:val="center"/>
          </w:tcPr>
          <w:p w14:paraId="7A6A76E6">
            <w:pPr>
              <w:jc w:val="center"/>
              <w:rPr>
                <w:rFonts w:hint="eastAsia" w:ascii="宋体" w:hAnsi="宋体" w:eastAsia="宋体" w:cs="宋体"/>
                <w:b/>
                <w:bCs/>
                <w:sz w:val="18"/>
                <w:szCs w:val="18"/>
              </w:rPr>
            </w:pPr>
            <w:r>
              <w:rPr>
                <w:rFonts w:hint="eastAsia" w:ascii="宋体" w:hAnsi="宋体" w:eastAsia="宋体" w:cs="宋体"/>
                <w:b/>
                <w:bCs/>
                <w:sz w:val="18"/>
                <w:szCs w:val="18"/>
              </w:rPr>
              <w:t>指标值设定依据</w:t>
            </w:r>
          </w:p>
        </w:tc>
        <w:tc>
          <w:tcPr>
            <w:tcW w:w="1134" w:type="dxa"/>
            <w:tcBorders>
              <w:top w:val="nil"/>
              <w:left w:val="nil"/>
              <w:bottom w:val="single" w:color="auto" w:sz="4" w:space="0"/>
              <w:right w:val="single" w:color="auto" w:sz="4" w:space="0"/>
            </w:tcBorders>
            <w:vAlign w:val="center"/>
          </w:tcPr>
          <w:p w14:paraId="616042CC">
            <w:pPr>
              <w:jc w:val="center"/>
              <w:rPr>
                <w:rFonts w:hint="eastAsia" w:ascii="宋体" w:hAnsi="宋体" w:eastAsia="宋体" w:cs="宋体"/>
                <w:b/>
                <w:bCs/>
                <w:sz w:val="18"/>
                <w:szCs w:val="18"/>
              </w:rPr>
            </w:pPr>
            <w:r>
              <w:rPr>
                <w:rFonts w:hint="eastAsia" w:ascii="宋体" w:hAnsi="宋体" w:eastAsia="宋体" w:cs="宋体"/>
                <w:b/>
                <w:bCs/>
                <w:sz w:val="18"/>
                <w:szCs w:val="18"/>
              </w:rPr>
              <w:t>实际完成指标值</w:t>
            </w:r>
          </w:p>
        </w:tc>
        <w:tc>
          <w:tcPr>
            <w:tcW w:w="992" w:type="dxa"/>
            <w:tcBorders>
              <w:top w:val="nil"/>
              <w:left w:val="nil"/>
              <w:bottom w:val="single" w:color="auto" w:sz="4" w:space="0"/>
              <w:right w:val="single" w:color="auto" w:sz="4" w:space="0"/>
            </w:tcBorders>
            <w:vAlign w:val="center"/>
          </w:tcPr>
          <w:p w14:paraId="44EF8605">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720" w:type="dxa"/>
            <w:tcBorders>
              <w:top w:val="nil"/>
              <w:left w:val="nil"/>
              <w:bottom w:val="single" w:color="auto" w:sz="4" w:space="0"/>
              <w:right w:val="single" w:color="auto" w:sz="4" w:space="0"/>
            </w:tcBorders>
            <w:vAlign w:val="center"/>
          </w:tcPr>
          <w:p w14:paraId="33F53599">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c>
          <w:tcPr>
            <w:tcW w:w="284" w:type="dxa"/>
            <w:tcBorders>
              <w:top w:val="nil"/>
              <w:left w:val="nil"/>
              <w:bottom w:val="nil"/>
              <w:right w:val="nil"/>
            </w:tcBorders>
            <w:noWrap/>
            <w:vAlign w:val="center"/>
          </w:tcPr>
          <w:p w14:paraId="611608DE">
            <w:pPr>
              <w:rPr>
                <w:rFonts w:hint="eastAsia" w:ascii="宋体" w:hAnsi="宋体" w:eastAsia="宋体" w:cs="宋体"/>
                <w:b/>
                <w:bCs/>
                <w:sz w:val="18"/>
                <w:szCs w:val="18"/>
              </w:rPr>
            </w:pPr>
          </w:p>
        </w:tc>
      </w:tr>
      <w:tr w14:paraId="5A0CB6DD">
        <w:tblPrEx>
          <w:tblCellMar>
            <w:top w:w="0" w:type="dxa"/>
            <w:left w:w="108" w:type="dxa"/>
            <w:bottom w:w="0" w:type="dxa"/>
            <w:right w:w="108" w:type="dxa"/>
          </w:tblCellMar>
        </w:tblPrEx>
        <w:trPr>
          <w:cantSplit/>
          <w:trHeight w:val="740" w:hRule="atLeast"/>
        </w:trPr>
        <w:tc>
          <w:tcPr>
            <w:tcW w:w="993" w:type="dxa"/>
            <w:vMerge w:val="restart"/>
            <w:tcBorders>
              <w:top w:val="single" w:color="auto" w:sz="4" w:space="0"/>
              <w:left w:val="single" w:color="auto" w:sz="4" w:space="0"/>
              <w:right w:val="single" w:color="auto" w:sz="4" w:space="0"/>
            </w:tcBorders>
            <w:noWrap/>
            <w:vAlign w:val="center"/>
          </w:tcPr>
          <w:p w14:paraId="4E936104">
            <w:pPr>
              <w:jc w:val="center"/>
              <w:rPr>
                <w:rFonts w:hint="eastAsia" w:ascii="宋体" w:hAnsi="宋体" w:eastAsia="宋体" w:cs="宋体"/>
                <w:sz w:val="18"/>
                <w:szCs w:val="18"/>
              </w:rPr>
            </w:pPr>
            <w:r>
              <w:rPr>
                <w:rFonts w:hint="eastAsia" w:ascii="宋体" w:hAnsi="宋体" w:eastAsia="宋体" w:cs="宋体"/>
                <w:sz w:val="18"/>
                <w:szCs w:val="18"/>
              </w:rPr>
              <w:t>履职效能</w:t>
            </w:r>
          </w:p>
        </w:tc>
        <w:tc>
          <w:tcPr>
            <w:tcW w:w="1417" w:type="dxa"/>
            <w:vMerge w:val="restart"/>
            <w:tcBorders>
              <w:top w:val="nil"/>
              <w:left w:val="nil"/>
              <w:right w:val="single" w:color="auto" w:sz="4" w:space="0"/>
            </w:tcBorders>
            <w:noWrap/>
            <w:vAlign w:val="center"/>
          </w:tcPr>
          <w:p w14:paraId="06FDA6EE">
            <w:pPr>
              <w:jc w:val="center"/>
              <w:rPr>
                <w:rFonts w:hint="eastAsia" w:ascii="宋体" w:hAnsi="宋体" w:eastAsia="宋体" w:cs="宋体"/>
                <w:sz w:val="18"/>
                <w:szCs w:val="18"/>
              </w:rPr>
            </w:pPr>
            <w:r>
              <w:rPr>
                <w:rFonts w:hint="eastAsia" w:ascii="宋体" w:hAnsi="宋体" w:eastAsia="宋体" w:cs="宋体"/>
                <w:sz w:val="18"/>
                <w:szCs w:val="18"/>
              </w:rPr>
              <w:t>数量指标</w:t>
            </w:r>
          </w:p>
        </w:tc>
        <w:tc>
          <w:tcPr>
            <w:tcW w:w="1418" w:type="dxa"/>
            <w:tcBorders>
              <w:top w:val="nil"/>
              <w:left w:val="nil"/>
              <w:bottom w:val="single" w:color="auto" w:sz="4" w:space="0"/>
              <w:right w:val="single" w:color="auto" w:sz="4" w:space="0"/>
            </w:tcBorders>
            <w:noWrap/>
            <w:vAlign w:val="center"/>
          </w:tcPr>
          <w:p w14:paraId="4BF9AF15">
            <w:pPr>
              <w:jc w:val="center"/>
              <w:rPr>
                <w:rFonts w:hint="eastAsia" w:ascii="宋体" w:hAnsi="宋体" w:eastAsia="宋体" w:cs="宋体"/>
                <w:sz w:val="18"/>
                <w:szCs w:val="18"/>
              </w:rPr>
            </w:pPr>
            <w:r>
              <w:rPr>
                <w:rFonts w:hint="eastAsia" w:ascii="宋体" w:hAnsi="宋体" w:eastAsia="宋体" w:cs="宋体"/>
                <w:sz w:val="18"/>
                <w:szCs w:val="18"/>
              </w:rPr>
              <w:t>办理纳出编业务</w:t>
            </w:r>
          </w:p>
        </w:tc>
        <w:tc>
          <w:tcPr>
            <w:tcW w:w="1276" w:type="dxa"/>
            <w:tcBorders>
              <w:top w:val="nil"/>
              <w:left w:val="nil"/>
              <w:bottom w:val="single" w:color="auto" w:sz="4" w:space="0"/>
              <w:right w:val="single" w:color="auto" w:sz="4" w:space="0"/>
            </w:tcBorders>
            <w:noWrap/>
            <w:vAlign w:val="center"/>
          </w:tcPr>
          <w:p w14:paraId="44BEA26D">
            <w:pPr>
              <w:jc w:val="center"/>
              <w:rPr>
                <w:rFonts w:hint="eastAsia" w:ascii="宋体" w:hAnsi="宋体" w:eastAsia="宋体" w:cs="宋体"/>
                <w:sz w:val="18"/>
                <w:szCs w:val="18"/>
              </w:rPr>
            </w:pPr>
            <w:r>
              <w:rPr>
                <w:rFonts w:hint="eastAsia" w:ascii="宋体" w:hAnsi="宋体" w:eastAsia="宋体" w:cs="宋体"/>
                <w:sz w:val="18"/>
                <w:szCs w:val="18"/>
              </w:rPr>
              <w:t>&gt;=2000人次</w:t>
            </w:r>
          </w:p>
        </w:tc>
        <w:tc>
          <w:tcPr>
            <w:tcW w:w="1701" w:type="dxa"/>
            <w:tcBorders>
              <w:top w:val="nil"/>
              <w:left w:val="nil"/>
              <w:bottom w:val="single" w:color="auto" w:sz="4" w:space="0"/>
              <w:right w:val="single" w:color="auto" w:sz="4" w:space="0"/>
            </w:tcBorders>
            <w:noWrap/>
            <w:vAlign w:val="center"/>
          </w:tcPr>
          <w:p w14:paraId="606A1BB8">
            <w:pPr>
              <w:rPr>
                <w:rFonts w:hint="eastAsia" w:ascii="宋体" w:hAnsi="宋体" w:eastAsia="宋体" w:cs="宋体"/>
                <w:sz w:val="18"/>
                <w:szCs w:val="18"/>
              </w:rPr>
            </w:pPr>
            <w:r>
              <w:rPr>
                <w:rFonts w:hint="eastAsia" w:ascii="宋体" w:hAnsi="宋体" w:eastAsia="宋体" w:cs="宋体"/>
                <w:sz w:val="18"/>
                <w:szCs w:val="18"/>
              </w:rPr>
              <w:t>达党办发[2019]28号</w:t>
            </w:r>
          </w:p>
        </w:tc>
        <w:tc>
          <w:tcPr>
            <w:tcW w:w="1134" w:type="dxa"/>
            <w:tcBorders>
              <w:top w:val="nil"/>
              <w:left w:val="nil"/>
              <w:bottom w:val="single" w:color="auto" w:sz="4" w:space="0"/>
              <w:right w:val="single" w:color="auto" w:sz="4" w:space="0"/>
            </w:tcBorders>
            <w:noWrap/>
            <w:vAlign w:val="center"/>
          </w:tcPr>
          <w:p w14:paraId="61B63FCD">
            <w:pPr>
              <w:jc w:val="center"/>
              <w:rPr>
                <w:rFonts w:hint="eastAsia" w:ascii="宋体" w:hAnsi="宋体" w:eastAsia="宋体" w:cs="宋体"/>
                <w:sz w:val="18"/>
                <w:szCs w:val="18"/>
              </w:rPr>
            </w:pPr>
            <w:r>
              <w:rPr>
                <w:rFonts w:hint="eastAsia" w:ascii="宋体" w:hAnsi="宋体" w:eastAsia="宋体" w:cs="宋体"/>
                <w:sz w:val="18"/>
                <w:szCs w:val="18"/>
              </w:rPr>
              <w:t>2000人次</w:t>
            </w:r>
          </w:p>
        </w:tc>
        <w:tc>
          <w:tcPr>
            <w:tcW w:w="992" w:type="dxa"/>
            <w:tcBorders>
              <w:top w:val="nil"/>
              <w:left w:val="nil"/>
              <w:bottom w:val="single" w:color="auto" w:sz="4" w:space="0"/>
              <w:right w:val="single" w:color="auto" w:sz="4" w:space="0"/>
            </w:tcBorders>
            <w:noWrap/>
            <w:vAlign w:val="center"/>
          </w:tcPr>
          <w:p w14:paraId="27BA9323">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nil"/>
              <w:left w:val="nil"/>
              <w:bottom w:val="single" w:color="auto" w:sz="4" w:space="0"/>
              <w:right w:val="single" w:color="auto" w:sz="4" w:space="0"/>
            </w:tcBorders>
            <w:noWrap/>
            <w:vAlign w:val="center"/>
          </w:tcPr>
          <w:p w14:paraId="3BAB5C43">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37FF592C">
            <w:pPr>
              <w:jc w:val="center"/>
              <w:rPr>
                <w:rFonts w:hint="eastAsia" w:ascii="宋体" w:hAnsi="宋体" w:eastAsia="宋体" w:cs="宋体"/>
                <w:sz w:val="18"/>
                <w:szCs w:val="18"/>
              </w:rPr>
            </w:pPr>
          </w:p>
        </w:tc>
      </w:tr>
      <w:tr w14:paraId="312FD1D0">
        <w:tblPrEx>
          <w:tblCellMar>
            <w:top w:w="0" w:type="dxa"/>
            <w:left w:w="108" w:type="dxa"/>
            <w:bottom w:w="0" w:type="dxa"/>
            <w:right w:w="108" w:type="dxa"/>
          </w:tblCellMar>
        </w:tblPrEx>
        <w:trPr>
          <w:cantSplit/>
          <w:trHeight w:val="740" w:hRule="atLeast"/>
        </w:trPr>
        <w:tc>
          <w:tcPr>
            <w:tcW w:w="993" w:type="dxa"/>
            <w:vMerge w:val="continue"/>
            <w:tcBorders>
              <w:left w:val="single" w:color="auto" w:sz="4" w:space="0"/>
              <w:right w:val="single" w:color="auto" w:sz="4" w:space="0"/>
            </w:tcBorders>
            <w:noWrap/>
            <w:vAlign w:val="center"/>
          </w:tcPr>
          <w:p w14:paraId="34D019DF">
            <w:pPr>
              <w:jc w:val="center"/>
              <w:rPr>
                <w:rFonts w:hint="eastAsia" w:ascii="宋体" w:hAnsi="宋体" w:eastAsia="宋体" w:cs="宋体"/>
                <w:sz w:val="18"/>
                <w:szCs w:val="18"/>
              </w:rPr>
            </w:pPr>
          </w:p>
        </w:tc>
        <w:tc>
          <w:tcPr>
            <w:tcW w:w="1417" w:type="dxa"/>
            <w:vMerge w:val="continue"/>
            <w:tcBorders>
              <w:left w:val="nil"/>
              <w:bottom w:val="single" w:color="auto" w:sz="4" w:space="0"/>
              <w:right w:val="single" w:color="auto" w:sz="4" w:space="0"/>
            </w:tcBorders>
            <w:noWrap/>
            <w:vAlign w:val="center"/>
          </w:tcPr>
          <w:p w14:paraId="2E7D54D5">
            <w:pPr>
              <w:jc w:val="center"/>
              <w:rPr>
                <w:rFonts w:hint="eastAsia" w:ascii="宋体" w:hAnsi="宋体" w:eastAsia="宋体" w:cs="宋体"/>
                <w:sz w:val="18"/>
                <w:szCs w:val="18"/>
              </w:rPr>
            </w:pPr>
          </w:p>
        </w:tc>
        <w:tc>
          <w:tcPr>
            <w:tcW w:w="1418" w:type="dxa"/>
            <w:tcBorders>
              <w:top w:val="nil"/>
              <w:left w:val="nil"/>
              <w:bottom w:val="single" w:color="auto" w:sz="4" w:space="0"/>
              <w:right w:val="single" w:color="auto" w:sz="4" w:space="0"/>
            </w:tcBorders>
            <w:noWrap/>
            <w:vAlign w:val="center"/>
          </w:tcPr>
          <w:p w14:paraId="192C3A89">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按成权限内机构改革单位数量</w:t>
            </w:r>
          </w:p>
        </w:tc>
        <w:tc>
          <w:tcPr>
            <w:tcW w:w="1276" w:type="dxa"/>
            <w:tcBorders>
              <w:top w:val="nil"/>
              <w:left w:val="nil"/>
              <w:bottom w:val="single" w:color="auto" w:sz="4" w:space="0"/>
              <w:right w:val="single" w:color="auto" w:sz="4" w:space="0"/>
            </w:tcBorders>
            <w:noWrap/>
            <w:vAlign w:val="center"/>
          </w:tcPr>
          <w:p w14:paraId="50CE545D">
            <w:pPr>
              <w:jc w:val="center"/>
              <w:rPr>
                <w:rFonts w:hint="eastAsia" w:ascii="宋体" w:hAnsi="宋体" w:eastAsia="宋体" w:cs="宋体"/>
                <w:sz w:val="18"/>
                <w:szCs w:val="18"/>
              </w:rPr>
            </w:pPr>
            <w:r>
              <w:rPr>
                <w:rFonts w:hint="eastAsia" w:ascii="宋体" w:hAnsi="宋体" w:eastAsia="宋体" w:cs="宋体"/>
                <w:sz w:val="18"/>
                <w:szCs w:val="18"/>
              </w:rPr>
              <w:t>&gt;=30家</w:t>
            </w:r>
          </w:p>
        </w:tc>
        <w:tc>
          <w:tcPr>
            <w:tcW w:w="1701" w:type="dxa"/>
            <w:tcBorders>
              <w:top w:val="nil"/>
              <w:left w:val="nil"/>
              <w:bottom w:val="single" w:color="auto" w:sz="4" w:space="0"/>
              <w:right w:val="single" w:color="auto" w:sz="4" w:space="0"/>
            </w:tcBorders>
            <w:noWrap/>
            <w:vAlign w:val="center"/>
          </w:tcPr>
          <w:p w14:paraId="16874F47">
            <w:pPr>
              <w:rPr>
                <w:rFonts w:hint="eastAsia" w:ascii="宋体" w:hAnsi="宋体" w:eastAsia="宋体" w:cs="宋体"/>
                <w:sz w:val="18"/>
                <w:szCs w:val="18"/>
              </w:rPr>
            </w:pPr>
            <w:r>
              <w:rPr>
                <w:rFonts w:hint="eastAsia" w:ascii="宋体" w:hAnsi="宋体" w:eastAsia="宋体" w:cs="宋体"/>
                <w:sz w:val="18"/>
                <w:szCs w:val="18"/>
              </w:rPr>
              <w:t>达党办发[2019]28号</w:t>
            </w:r>
          </w:p>
        </w:tc>
        <w:tc>
          <w:tcPr>
            <w:tcW w:w="1134" w:type="dxa"/>
            <w:tcBorders>
              <w:top w:val="nil"/>
              <w:left w:val="nil"/>
              <w:bottom w:val="single" w:color="auto" w:sz="4" w:space="0"/>
              <w:right w:val="single" w:color="auto" w:sz="4" w:space="0"/>
            </w:tcBorders>
            <w:noWrap/>
            <w:vAlign w:val="center"/>
          </w:tcPr>
          <w:p w14:paraId="5FF901F3">
            <w:pPr>
              <w:jc w:val="center"/>
              <w:rPr>
                <w:rFonts w:hint="eastAsia" w:ascii="宋体" w:hAnsi="宋体" w:eastAsia="宋体" w:cs="宋体"/>
                <w:sz w:val="18"/>
                <w:szCs w:val="18"/>
              </w:rPr>
            </w:pPr>
            <w:r>
              <w:rPr>
                <w:rFonts w:hint="eastAsia" w:ascii="宋体" w:hAnsi="宋体" w:eastAsia="宋体" w:cs="宋体"/>
                <w:sz w:val="18"/>
                <w:szCs w:val="18"/>
              </w:rPr>
              <w:t>30家</w:t>
            </w:r>
          </w:p>
        </w:tc>
        <w:tc>
          <w:tcPr>
            <w:tcW w:w="992" w:type="dxa"/>
            <w:tcBorders>
              <w:top w:val="nil"/>
              <w:left w:val="nil"/>
              <w:bottom w:val="single" w:color="auto" w:sz="4" w:space="0"/>
              <w:right w:val="single" w:color="auto" w:sz="4" w:space="0"/>
            </w:tcBorders>
            <w:noWrap/>
            <w:vAlign w:val="center"/>
          </w:tcPr>
          <w:p w14:paraId="6ECCB917">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nil"/>
              <w:left w:val="nil"/>
              <w:bottom w:val="single" w:color="auto" w:sz="4" w:space="0"/>
              <w:right w:val="single" w:color="auto" w:sz="4" w:space="0"/>
            </w:tcBorders>
            <w:noWrap/>
            <w:vAlign w:val="center"/>
          </w:tcPr>
          <w:p w14:paraId="3EE5A430">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0AD89098">
            <w:pPr>
              <w:jc w:val="center"/>
              <w:rPr>
                <w:rFonts w:hint="eastAsia" w:ascii="宋体" w:hAnsi="宋体" w:eastAsia="宋体" w:cs="宋体"/>
                <w:sz w:val="18"/>
                <w:szCs w:val="18"/>
              </w:rPr>
            </w:pPr>
          </w:p>
        </w:tc>
      </w:tr>
      <w:tr w14:paraId="0A626B6E">
        <w:tblPrEx>
          <w:tblCellMar>
            <w:top w:w="0" w:type="dxa"/>
            <w:left w:w="108" w:type="dxa"/>
            <w:bottom w:w="0" w:type="dxa"/>
            <w:right w:w="108" w:type="dxa"/>
          </w:tblCellMar>
        </w:tblPrEx>
        <w:trPr>
          <w:cantSplit/>
          <w:trHeight w:val="740" w:hRule="atLeast"/>
        </w:trPr>
        <w:tc>
          <w:tcPr>
            <w:tcW w:w="993" w:type="dxa"/>
            <w:vMerge w:val="continue"/>
            <w:tcBorders>
              <w:left w:val="single" w:color="auto" w:sz="4" w:space="0"/>
              <w:bottom w:val="single" w:color="auto" w:sz="4" w:space="0"/>
              <w:right w:val="single" w:color="auto" w:sz="4" w:space="0"/>
            </w:tcBorders>
            <w:noWrap/>
            <w:vAlign w:val="center"/>
          </w:tcPr>
          <w:p w14:paraId="1290F40E">
            <w:pPr>
              <w:jc w:val="center"/>
              <w:rPr>
                <w:rFonts w:hint="eastAsia" w:ascii="宋体" w:hAnsi="宋体" w:eastAsia="宋体" w:cs="宋体"/>
                <w:sz w:val="18"/>
                <w:szCs w:val="18"/>
              </w:rPr>
            </w:pPr>
          </w:p>
        </w:tc>
        <w:tc>
          <w:tcPr>
            <w:tcW w:w="1417" w:type="dxa"/>
            <w:tcBorders>
              <w:top w:val="single" w:color="auto" w:sz="4" w:space="0"/>
              <w:left w:val="nil"/>
              <w:bottom w:val="single" w:color="auto" w:sz="4" w:space="0"/>
              <w:right w:val="single" w:color="auto" w:sz="4" w:space="0"/>
            </w:tcBorders>
            <w:noWrap/>
            <w:vAlign w:val="center"/>
          </w:tcPr>
          <w:p w14:paraId="5DEF683E">
            <w:pPr>
              <w:jc w:val="center"/>
              <w:rPr>
                <w:rFonts w:hint="eastAsia" w:ascii="宋体" w:hAnsi="宋体" w:eastAsia="宋体" w:cs="宋体"/>
                <w:sz w:val="18"/>
                <w:szCs w:val="18"/>
              </w:rPr>
            </w:pPr>
            <w:r>
              <w:rPr>
                <w:rFonts w:hint="eastAsia" w:ascii="宋体" w:hAnsi="宋体" w:eastAsia="宋体" w:cs="宋体"/>
                <w:sz w:val="18"/>
                <w:szCs w:val="18"/>
              </w:rPr>
              <w:t>质量指标</w:t>
            </w:r>
          </w:p>
        </w:tc>
        <w:tc>
          <w:tcPr>
            <w:tcW w:w="1418" w:type="dxa"/>
            <w:tcBorders>
              <w:top w:val="single" w:color="auto" w:sz="4" w:space="0"/>
              <w:left w:val="nil"/>
              <w:bottom w:val="single" w:color="auto" w:sz="4" w:space="0"/>
              <w:right w:val="single" w:color="auto" w:sz="4" w:space="0"/>
            </w:tcBorders>
            <w:noWrap/>
            <w:vAlign w:val="center"/>
          </w:tcPr>
          <w:p w14:paraId="447F0457">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维护机构编制实名制库</w:t>
            </w:r>
          </w:p>
        </w:tc>
        <w:tc>
          <w:tcPr>
            <w:tcW w:w="1276" w:type="dxa"/>
            <w:tcBorders>
              <w:top w:val="single" w:color="auto" w:sz="4" w:space="0"/>
              <w:left w:val="nil"/>
              <w:bottom w:val="single" w:color="auto" w:sz="4" w:space="0"/>
              <w:right w:val="single" w:color="auto" w:sz="4" w:space="0"/>
            </w:tcBorders>
            <w:noWrap/>
            <w:vAlign w:val="center"/>
          </w:tcPr>
          <w:p w14:paraId="57D65412">
            <w:pPr>
              <w:jc w:val="center"/>
              <w:rPr>
                <w:rFonts w:hint="eastAsia" w:ascii="宋体" w:hAnsi="宋体" w:eastAsia="宋体" w:cs="宋体"/>
                <w:sz w:val="18"/>
                <w:szCs w:val="18"/>
              </w:rPr>
            </w:pPr>
            <w:r>
              <w:rPr>
                <w:rFonts w:hint="eastAsia" w:ascii="宋体" w:hAnsi="宋体" w:eastAsia="宋体" w:cs="宋体"/>
                <w:sz w:val="18"/>
                <w:szCs w:val="18"/>
              </w:rPr>
              <w:t>&gt;=2个</w:t>
            </w:r>
          </w:p>
        </w:tc>
        <w:tc>
          <w:tcPr>
            <w:tcW w:w="1701" w:type="dxa"/>
            <w:tcBorders>
              <w:top w:val="single" w:color="auto" w:sz="4" w:space="0"/>
              <w:left w:val="nil"/>
              <w:bottom w:val="single" w:color="auto" w:sz="4" w:space="0"/>
              <w:right w:val="single" w:color="auto" w:sz="4" w:space="0"/>
            </w:tcBorders>
            <w:noWrap/>
            <w:vAlign w:val="center"/>
          </w:tcPr>
          <w:p w14:paraId="546427E8">
            <w:pPr>
              <w:rPr>
                <w:rFonts w:hint="eastAsia" w:ascii="宋体" w:hAnsi="宋体" w:eastAsia="宋体" w:cs="宋体"/>
                <w:sz w:val="18"/>
                <w:szCs w:val="18"/>
              </w:rPr>
            </w:pPr>
            <w:r>
              <w:rPr>
                <w:rFonts w:hint="eastAsia" w:ascii="宋体" w:hAnsi="宋体" w:eastAsia="宋体" w:cs="宋体"/>
                <w:sz w:val="18"/>
                <w:szCs w:val="18"/>
              </w:rPr>
              <w:t>达党办发[2019]28号</w:t>
            </w:r>
          </w:p>
        </w:tc>
        <w:tc>
          <w:tcPr>
            <w:tcW w:w="1134" w:type="dxa"/>
            <w:tcBorders>
              <w:top w:val="single" w:color="auto" w:sz="4" w:space="0"/>
              <w:left w:val="nil"/>
              <w:bottom w:val="single" w:color="auto" w:sz="4" w:space="0"/>
              <w:right w:val="single" w:color="auto" w:sz="4" w:space="0"/>
            </w:tcBorders>
            <w:noWrap/>
            <w:vAlign w:val="center"/>
          </w:tcPr>
          <w:p w14:paraId="215BC24E">
            <w:pPr>
              <w:jc w:val="center"/>
              <w:rPr>
                <w:rFonts w:hint="eastAsia" w:ascii="宋体" w:hAnsi="宋体" w:eastAsia="宋体" w:cs="宋体"/>
                <w:sz w:val="18"/>
                <w:szCs w:val="18"/>
              </w:rPr>
            </w:pPr>
            <w:r>
              <w:rPr>
                <w:rFonts w:hint="eastAsia" w:ascii="宋体" w:hAnsi="宋体" w:eastAsia="宋体" w:cs="宋体"/>
                <w:sz w:val="18"/>
                <w:szCs w:val="18"/>
              </w:rPr>
              <w:t>2个</w:t>
            </w:r>
          </w:p>
        </w:tc>
        <w:tc>
          <w:tcPr>
            <w:tcW w:w="992" w:type="dxa"/>
            <w:tcBorders>
              <w:top w:val="single" w:color="auto" w:sz="4" w:space="0"/>
              <w:left w:val="nil"/>
              <w:bottom w:val="single" w:color="auto" w:sz="4" w:space="0"/>
              <w:right w:val="single" w:color="auto" w:sz="4" w:space="0"/>
            </w:tcBorders>
            <w:noWrap/>
            <w:vAlign w:val="center"/>
          </w:tcPr>
          <w:p w14:paraId="5839E7B3">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single" w:color="auto" w:sz="4" w:space="0"/>
              <w:left w:val="nil"/>
              <w:bottom w:val="single" w:color="auto" w:sz="4" w:space="0"/>
              <w:right w:val="single" w:color="auto" w:sz="4" w:space="0"/>
            </w:tcBorders>
            <w:noWrap/>
            <w:vAlign w:val="center"/>
          </w:tcPr>
          <w:p w14:paraId="407AB52A">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3E84DEC1">
            <w:pPr>
              <w:jc w:val="center"/>
              <w:rPr>
                <w:rFonts w:hint="eastAsia" w:ascii="宋体" w:hAnsi="宋体" w:eastAsia="宋体" w:cs="宋体"/>
                <w:sz w:val="18"/>
                <w:szCs w:val="18"/>
              </w:rPr>
            </w:pPr>
          </w:p>
        </w:tc>
      </w:tr>
      <w:tr w14:paraId="775CF533">
        <w:tblPrEx>
          <w:tblCellMar>
            <w:top w:w="0" w:type="dxa"/>
            <w:left w:w="108" w:type="dxa"/>
            <w:bottom w:w="0" w:type="dxa"/>
            <w:right w:w="108" w:type="dxa"/>
          </w:tblCellMar>
        </w:tblPrEx>
        <w:trPr>
          <w:cantSplit/>
          <w:trHeight w:val="740" w:hRule="atLeast"/>
        </w:trPr>
        <w:tc>
          <w:tcPr>
            <w:tcW w:w="7939" w:type="dxa"/>
            <w:gridSpan w:val="6"/>
            <w:tcBorders>
              <w:top w:val="single" w:color="auto" w:sz="4" w:space="0"/>
              <w:left w:val="single" w:color="auto" w:sz="4" w:space="0"/>
              <w:bottom w:val="single" w:color="auto" w:sz="4" w:space="0"/>
              <w:right w:val="single" w:color="auto" w:sz="4" w:space="0"/>
            </w:tcBorders>
            <w:noWrap/>
            <w:vAlign w:val="center"/>
          </w:tcPr>
          <w:p w14:paraId="7CC02237">
            <w:pPr>
              <w:jc w:val="center"/>
              <w:rPr>
                <w:rFonts w:hint="eastAsia" w:ascii="宋体" w:hAnsi="宋体" w:eastAsia="宋体" w:cs="宋体"/>
                <w:sz w:val="18"/>
                <w:szCs w:val="18"/>
              </w:rPr>
            </w:pPr>
            <w:r>
              <w:rPr>
                <w:rFonts w:hint="eastAsia" w:ascii="宋体" w:hAnsi="宋体" w:eastAsia="宋体" w:cs="宋体"/>
                <w:sz w:val="18"/>
                <w:szCs w:val="18"/>
              </w:rPr>
              <w:t>总分</w:t>
            </w:r>
          </w:p>
        </w:tc>
        <w:tc>
          <w:tcPr>
            <w:tcW w:w="992" w:type="dxa"/>
            <w:tcBorders>
              <w:top w:val="single" w:color="auto" w:sz="4" w:space="0"/>
              <w:left w:val="nil"/>
              <w:bottom w:val="single" w:color="auto" w:sz="4" w:space="0"/>
              <w:right w:val="single" w:color="auto" w:sz="4" w:space="0"/>
            </w:tcBorders>
            <w:noWrap/>
            <w:vAlign w:val="center"/>
          </w:tcPr>
          <w:p w14:paraId="71ED8E37">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720" w:type="dxa"/>
            <w:tcBorders>
              <w:top w:val="single" w:color="auto" w:sz="4" w:space="0"/>
              <w:left w:val="nil"/>
              <w:bottom w:val="single" w:color="auto" w:sz="4" w:space="0"/>
              <w:right w:val="single" w:color="auto" w:sz="4" w:space="0"/>
            </w:tcBorders>
            <w:noWrap/>
            <w:vAlign w:val="center"/>
          </w:tcPr>
          <w:p w14:paraId="4175C619">
            <w:pPr>
              <w:jc w:val="center"/>
              <w:rPr>
                <w:rFonts w:hint="eastAsia" w:ascii="宋体" w:hAnsi="宋体" w:eastAsia="宋体" w:cs="宋体"/>
                <w:sz w:val="18"/>
                <w:szCs w:val="18"/>
              </w:rPr>
            </w:pPr>
            <w:r>
              <w:rPr>
                <w:rFonts w:hint="eastAsia" w:ascii="宋体" w:hAnsi="宋体" w:eastAsia="宋体" w:cs="宋体"/>
                <w:sz w:val="18"/>
                <w:szCs w:val="18"/>
              </w:rPr>
              <w:t>99.99</w:t>
            </w:r>
          </w:p>
        </w:tc>
        <w:tc>
          <w:tcPr>
            <w:tcW w:w="284" w:type="dxa"/>
            <w:tcBorders>
              <w:top w:val="nil"/>
              <w:left w:val="nil"/>
              <w:bottom w:val="nil"/>
              <w:right w:val="nil"/>
            </w:tcBorders>
            <w:noWrap/>
            <w:vAlign w:val="center"/>
          </w:tcPr>
          <w:p w14:paraId="5E3D7922">
            <w:pPr>
              <w:jc w:val="center"/>
              <w:rPr>
                <w:rFonts w:hint="eastAsia" w:ascii="宋体" w:hAnsi="宋体" w:eastAsia="宋体" w:cs="宋体"/>
                <w:sz w:val="18"/>
                <w:szCs w:val="18"/>
              </w:rPr>
            </w:pPr>
          </w:p>
        </w:tc>
      </w:tr>
      <w:bookmarkEnd w:id="2"/>
    </w:tbl>
    <w:p w14:paraId="44379C4A">
      <w:pPr>
        <w:spacing w:after="0" w:line="240" w:lineRule="auto"/>
        <w:ind w:firstLine="640" w:firstLineChars="200"/>
        <w:jc w:val="both"/>
        <w:rPr>
          <w:rFonts w:hint="eastAsia" w:ascii="仿宋_GB2312" w:eastAsia="仿宋_GB2312"/>
          <w:sz w:val="32"/>
          <w:szCs w:val="32"/>
          <w:lang w:eastAsia="zh-CN"/>
        </w:rPr>
      </w:pPr>
    </w:p>
    <w:p w14:paraId="247398FA">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十二、其他需说明的事项</w:t>
      </w:r>
    </w:p>
    <w:p w14:paraId="01C07D59">
      <w:pPr>
        <w:spacing w:after="0" w:line="24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我单位2024年度无政府采购支出，授予中小企业合同金额0.00万元</w:t>
      </w:r>
      <w:r>
        <w:rPr>
          <w:rFonts w:ascii="仿宋_GB2312" w:eastAsia="仿宋_GB2312"/>
          <w:sz w:val="32"/>
          <w:szCs w:val="32"/>
          <w:lang w:eastAsia="zh-CN"/>
        </w:rPr>
        <w:t>。</w:t>
      </w:r>
    </w:p>
    <w:p w14:paraId="50958098">
      <w:pPr>
        <w:rPr>
          <w:rFonts w:hint="eastAsia"/>
          <w:lang w:eastAsia="zh-CN"/>
        </w:rPr>
      </w:pPr>
      <w:r>
        <w:rPr>
          <w:sz w:val="0"/>
          <w:szCs w:val="0"/>
          <w:lang w:eastAsia="zh-CN"/>
        </w:rPr>
        <w:br w:type="page"/>
      </w:r>
    </w:p>
    <w:p w14:paraId="12732915">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第三部分 专业名词解释</w:t>
      </w:r>
    </w:p>
    <w:p w14:paraId="66FBB749">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14:paraId="61B34F3F">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14:paraId="36F41B06">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14:paraId="4DBD87AD">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14:paraId="7B0AD129">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14:paraId="6906FF83">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指除上述“财政拨款收入”、“事业收入”、“经营收入”、“附属单位上缴收入”等之外取得的收入。</w:t>
      </w:r>
    </w:p>
    <w:p w14:paraId="4C853AE7">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14:paraId="2E31827E">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C67D5B2">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14:paraId="767DD0CC">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14:paraId="53C018B8">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14:paraId="0B81395E">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14:paraId="77827B8D">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十三、“三公”经费：</w:t>
      </w:r>
      <w:r>
        <w:rPr>
          <w:rFonts w:ascii="仿宋_GB2312" w:eastAsia="仿宋_GB2312"/>
          <w:sz w:val="32"/>
          <w:szCs w:val="32"/>
          <w:lang w:eastAsia="zh-CN"/>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3CAB719">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14:paraId="72DF230E">
      <w:pPr>
        <w:rPr>
          <w:rFonts w:hint="eastAsia"/>
          <w:lang w:eastAsia="zh-CN"/>
        </w:rPr>
      </w:pPr>
      <w:r>
        <w:rPr>
          <w:sz w:val="0"/>
          <w:szCs w:val="0"/>
          <w:lang w:eastAsia="zh-CN"/>
        </w:rPr>
        <w:br w:type="page"/>
      </w:r>
    </w:p>
    <w:p w14:paraId="7550BC48">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第四部分 部门决算报表（见附表）</w:t>
      </w:r>
    </w:p>
    <w:p w14:paraId="3553FB16">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一、《收入支出决算总表》</w:t>
      </w:r>
    </w:p>
    <w:p w14:paraId="71D4483E">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二、《收入决算表》</w:t>
      </w:r>
    </w:p>
    <w:p w14:paraId="77E456C6">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三、《支出决算表》</w:t>
      </w:r>
    </w:p>
    <w:p w14:paraId="0DE1EBA2">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四、《财政拨款收入支出决算总表》</w:t>
      </w:r>
    </w:p>
    <w:p w14:paraId="2F196983">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五、《一般公共预算财政拨款支出决算表》</w:t>
      </w:r>
    </w:p>
    <w:p w14:paraId="7CF1A140">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5CC40C35">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6815461C">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132F9FDA">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九、《财政拨款“三公”经费支出决算表》</w:t>
      </w:r>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2"/>
    <w:compatSetting w:name="overrideTableStyleFontSizeAndJustification" w:uri="http://schemas.microsoft.com/office/word" w:val="1"/>
  </w:compat>
  <w:rsids>
    <w:rsidRoot w:val="0061521A"/>
    <w:rsid w:val="00182492"/>
    <w:rsid w:val="001861DE"/>
    <w:rsid w:val="00263ACF"/>
    <w:rsid w:val="00412647"/>
    <w:rsid w:val="004A7670"/>
    <w:rsid w:val="0061521A"/>
    <w:rsid w:val="00A83C67"/>
    <w:rsid w:val="00B4635E"/>
    <w:rsid w:val="00B91AA7"/>
    <w:rsid w:val="00D44481"/>
    <w:rsid w:val="00D857A0"/>
    <w:rsid w:val="0C5C1BAB"/>
    <w:rsid w:val="183D716B"/>
    <w:rsid w:val="780E4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472C4"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472C4" w:themeColor="accent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472C4" w:themeColor="accent1"/>
      <w:sz w:val="18"/>
      <w:szCs w:val="18"/>
    </w:rPr>
  </w:style>
  <w:style w:type="paragraph" w:styleId="8">
    <w:name w:val="footer"/>
    <w:basedOn w:val="1"/>
    <w:link w:val="24"/>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17"/>
    <w:unhideWhenUsed/>
    <w:qFormat/>
    <w:uiPriority w:val="99"/>
    <w:pPr>
      <w:tabs>
        <w:tab w:val="center" w:pos="4680"/>
        <w:tab w:val="right" w:pos="9360"/>
      </w:tabs>
    </w:pPr>
  </w:style>
  <w:style w:type="paragraph" w:styleId="10">
    <w:name w:val="Subtitle"/>
    <w:basedOn w:val="1"/>
    <w:next w:val="1"/>
    <w:link w:val="22"/>
    <w:qFormat/>
    <w:uiPriority w:val="11"/>
    <w:pPr>
      <w:ind w:left="86"/>
    </w:pPr>
    <w:rPr>
      <w:rFonts w:asciiTheme="majorHAnsi" w:hAnsiTheme="majorHAnsi" w:eastAsiaTheme="majorEastAsia" w:cstheme="majorBidi"/>
      <w:i/>
      <w:iCs/>
      <w:color w:val="4472C4" w:themeColor="accent1"/>
      <w:spacing w:val="15"/>
      <w:sz w:val="24"/>
      <w:szCs w:val="24"/>
    </w:rPr>
  </w:style>
  <w:style w:type="paragraph" w:styleId="11">
    <w:name w:val="Title"/>
    <w:basedOn w:val="1"/>
    <w:next w:val="1"/>
    <w:link w:val="23"/>
    <w:qFormat/>
    <w:uiPriority w:val="1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Emphasis"/>
    <w:basedOn w:val="14"/>
    <w:qFormat/>
    <w:uiPriority w:val="20"/>
    <w:rPr>
      <w:i/>
      <w:iCs/>
    </w:rPr>
  </w:style>
  <w:style w:type="character" w:styleId="16">
    <w:name w:val="Hyperlink"/>
    <w:basedOn w:val="14"/>
    <w:unhideWhenUsed/>
    <w:qFormat/>
    <w:uiPriority w:val="99"/>
    <w:rPr>
      <w:color w:val="0563C1" w:themeColor="hyperlink"/>
      <w:u w:val="single"/>
    </w:rPr>
  </w:style>
  <w:style w:type="character" w:customStyle="1" w:styleId="17">
    <w:name w:val="页眉 字符"/>
    <w:basedOn w:val="14"/>
    <w:link w:val="9"/>
    <w:qFormat/>
    <w:uiPriority w:val="99"/>
  </w:style>
  <w:style w:type="character" w:customStyle="1" w:styleId="18">
    <w:name w:val="标题 1 字符"/>
    <w:basedOn w:val="14"/>
    <w:link w:val="2"/>
    <w:qFormat/>
    <w:uiPriority w:val="9"/>
    <w:rPr>
      <w:rFonts w:asciiTheme="majorHAnsi" w:hAnsiTheme="majorHAnsi" w:eastAsiaTheme="majorEastAsia" w:cstheme="majorBidi"/>
      <w:b/>
      <w:bCs/>
      <w:color w:val="2F5496" w:themeColor="accent1" w:themeShade="BF"/>
      <w:sz w:val="28"/>
      <w:szCs w:val="28"/>
    </w:rPr>
  </w:style>
  <w:style w:type="character" w:customStyle="1" w:styleId="19">
    <w:name w:val="标题 2 字符"/>
    <w:basedOn w:val="14"/>
    <w:link w:val="3"/>
    <w:qFormat/>
    <w:uiPriority w:val="9"/>
    <w:rPr>
      <w:rFonts w:asciiTheme="majorHAnsi" w:hAnsiTheme="majorHAnsi" w:eastAsiaTheme="majorEastAsia" w:cstheme="majorBidi"/>
      <w:b/>
      <w:bCs/>
      <w:color w:val="4472C4" w:themeColor="accent1"/>
      <w:sz w:val="26"/>
      <w:szCs w:val="26"/>
    </w:rPr>
  </w:style>
  <w:style w:type="character" w:customStyle="1" w:styleId="20">
    <w:name w:val="标题 3 字符"/>
    <w:basedOn w:val="14"/>
    <w:link w:val="4"/>
    <w:qFormat/>
    <w:uiPriority w:val="9"/>
    <w:rPr>
      <w:rFonts w:asciiTheme="majorHAnsi" w:hAnsiTheme="majorHAnsi" w:eastAsiaTheme="majorEastAsia" w:cstheme="majorBidi"/>
      <w:b/>
      <w:bCs/>
      <w:color w:val="4472C4" w:themeColor="accent1"/>
    </w:rPr>
  </w:style>
  <w:style w:type="character" w:customStyle="1" w:styleId="21">
    <w:name w:val="标题 4 字符"/>
    <w:basedOn w:val="14"/>
    <w:link w:val="5"/>
    <w:qFormat/>
    <w:uiPriority w:val="9"/>
    <w:rPr>
      <w:rFonts w:asciiTheme="majorHAnsi" w:hAnsiTheme="majorHAnsi" w:eastAsiaTheme="majorEastAsia" w:cstheme="majorBidi"/>
      <w:b/>
      <w:bCs/>
      <w:i/>
      <w:iCs/>
      <w:color w:val="4472C4" w:themeColor="accent1"/>
    </w:rPr>
  </w:style>
  <w:style w:type="character" w:customStyle="1" w:styleId="22">
    <w:name w:val="副标题 字符"/>
    <w:basedOn w:val="14"/>
    <w:link w:val="10"/>
    <w:qFormat/>
    <w:uiPriority w:val="11"/>
    <w:rPr>
      <w:rFonts w:asciiTheme="majorHAnsi" w:hAnsiTheme="majorHAnsi" w:eastAsiaTheme="majorEastAsia" w:cstheme="majorBidi"/>
      <w:i/>
      <w:iCs/>
      <w:color w:val="4472C4" w:themeColor="accent1"/>
      <w:spacing w:val="15"/>
      <w:sz w:val="24"/>
      <w:szCs w:val="24"/>
    </w:rPr>
  </w:style>
  <w:style w:type="character" w:customStyle="1" w:styleId="23">
    <w:name w:val="标题 字符"/>
    <w:basedOn w:val="14"/>
    <w:link w:val="11"/>
    <w:qFormat/>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4">
    <w:name w:val="页脚 字符"/>
    <w:basedOn w:val="14"/>
    <w:link w:val="8"/>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6782</Words>
  <Characters>7361</Characters>
  <Lines>232</Lines>
  <Paragraphs>206</Paragraphs>
  <TotalTime>3</TotalTime>
  <ScaleCrop>false</ScaleCrop>
  <LinksUpToDate>false</LinksUpToDate>
  <CharactersWithSpaces>7371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2025-08-26T15:29:00Z</dcterms:created>
  <dc:creator>华为</dc:creator>
  <cp:lastModifiedBy>局外人.</cp:lastModifiedBy>
  <dcterms:modified xsi:type="dcterms:W3CDTF">2025-11-20T04:37:12Z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eyJoZGlkIjoiYzI4NzYwZWZkM2I0OTdlMTA3M2NkMmFjZWIyMDVmNjUiLCJ1c2VySWQiOiIxMjM2MzIxMjUwIn0=</vt:lpwstr>
  </property>
  <property fmtid="{D5CDD505-2E9C-101B-9397-08002B2CF9AE}" pid="3" name="KSOProductBuildVer">
    <vt:lpwstr>2052-12.1.0.23125</vt:lpwstr>
  </property>
  <property fmtid="{D5CDD505-2E9C-101B-9397-08002B2CF9AE}" pid="4" name="ICV">
    <vt:lpwstr>5799C861BB1549478349602557238F72_12</vt:lpwstr>
  </property>
</Properties>
</file>