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7CEE">
      <w:pPr>
        <w:spacing w:after="0" w:line="240" w:lineRule="auto"/>
        <w:rPr>
          <w:rFonts w:ascii="宋体" w:eastAsia="宋体"/>
          <w:sz w:val="32"/>
          <w:szCs w:val="32"/>
        </w:rPr>
      </w:pPr>
    </w:p>
    <w:p w14:paraId="436D92B3">
      <w:pPr>
        <w:spacing w:after="0" w:line="240" w:lineRule="auto"/>
        <w:rPr>
          <w:rFonts w:ascii="宋体" w:eastAsia="宋体"/>
          <w:sz w:val="44"/>
          <w:szCs w:val="44"/>
        </w:rPr>
      </w:pPr>
    </w:p>
    <w:p w14:paraId="5DA1A781">
      <w:pPr>
        <w:spacing w:after="0" w:line="240" w:lineRule="auto"/>
        <w:rPr>
          <w:rFonts w:ascii="宋体" w:eastAsia="宋体"/>
          <w:sz w:val="44"/>
          <w:szCs w:val="44"/>
        </w:rPr>
      </w:pPr>
    </w:p>
    <w:p w14:paraId="1DA3EED6">
      <w:pPr>
        <w:spacing w:after="0" w:line="240" w:lineRule="auto"/>
        <w:rPr>
          <w:rFonts w:ascii="宋体" w:eastAsia="宋体"/>
          <w:sz w:val="44"/>
          <w:szCs w:val="44"/>
        </w:rPr>
      </w:pPr>
    </w:p>
    <w:p w14:paraId="350E3B98">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中共乌鲁木齐市达坂城区委员会社会工作部</w:t>
      </w:r>
    </w:p>
    <w:p w14:paraId="7E11045E">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14:paraId="6DE1754B">
      <w:pPr>
        <w:rPr>
          <w:lang w:eastAsia="zh-CN"/>
        </w:rPr>
      </w:pPr>
      <w:r>
        <w:rPr>
          <w:sz w:val="0"/>
          <w:szCs w:val="0"/>
          <w:lang w:eastAsia="zh-CN"/>
        </w:rPr>
        <w:br w:type="page"/>
      </w:r>
    </w:p>
    <w:p w14:paraId="7D5DB4DB">
      <w:pPr>
        <w:spacing w:after="0" w:line="240" w:lineRule="auto"/>
        <w:jc w:val="center"/>
        <w:rPr>
          <w:rFonts w:ascii="黑体" w:eastAsia="黑体"/>
          <w:sz w:val="32"/>
          <w:szCs w:val="32"/>
          <w:lang w:eastAsia="zh-CN"/>
        </w:rPr>
      </w:pPr>
      <w:r>
        <w:rPr>
          <w:rFonts w:ascii="黑体" w:eastAsia="黑体"/>
          <w:b/>
          <w:sz w:val="32"/>
          <w:szCs w:val="32"/>
          <w:lang w:eastAsia="zh-CN"/>
        </w:rPr>
        <w:t>目  录</w:t>
      </w:r>
    </w:p>
    <w:p w14:paraId="0EF02415">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14:paraId="2DA4EA1C">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2AB5FBA8">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22841A73">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40F76D04">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6F1E17FA">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708AD6BE">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195D19DB">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23B5B084">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0C417626">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465E3A24">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27E9429C">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3AAD11BF">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1C8E9345">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24B49177">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3E3D3C13">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4E36876F">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14:paraId="1CF681B2">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37DA515F">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4D707CD5">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6F71D09E">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7C5D240C">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1C3CDADF">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65A54FE3">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11F69E1F">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3D1CB8E5">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11EDF46C">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70C694CB">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0D472D7B">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7EA8735D">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1F5EB305">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0F068097">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077FD60F">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14:paraId="4E43AF93">
      <w:pPr>
        <w:rPr>
          <w:lang w:eastAsia="zh-CN"/>
        </w:rPr>
      </w:pPr>
      <w:r>
        <w:rPr>
          <w:sz w:val="0"/>
          <w:szCs w:val="0"/>
          <w:lang w:eastAsia="zh-CN"/>
        </w:rPr>
        <w:br w:type="page"/>
      </w:r>
    </w:p>
    <w:p w14:paraId="15B3881A">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w:t>
      </w:r>
      <w:r>
        <w:rPr>
          <w:rFonts w:hint="eastAsia" w:ascii="黑体" w:eastAsia="黑体"/>
          <w:sz w:val="32"/>
          <w:szCs w:val="32"/>
          <w:lang w:val="en-US" w:eastAsia="zh-CN"/>
        </w:rPr>
        <w:t xml:space="preserve"> </w:t>
      </w:r>
      <w:r>
        <w:rPr>
          <w:rFonts w:ascii="黑体" w:eastAsia="黑体"/>
          <w:sz w:val="32"/>
          <w:szCs w:val="32"/>
          <w:lang w:eastAsia="zh-CN"/>
        </w:rPr>
        <w:t>单位概况</w:t>
      </w:r>
    </w:p>
    <w:p w14:paraId="2378FDE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一、主要职能</w:t>
      </w:r>
    </w:p>
    <w:p w14:paraId="73B2349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（一）贯彻落实党中央、自治区党委、市委、区委有关社会工作的方针政策和法律法规，拟订社会工作中长期规划、年度计划和政策措施并组织实施；深入调查研究，及时向区委报告工作情况并提出建议。</w:t>
      </w:r>
    </w:p>
    <w:p w14:paraId="1697F68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二）统筹指导群众利益协调、诉求表达、矛盾调处、权益保障等人民信访工作，协调解决人民群众急难愁盼的困难和问题；指导人民建议征集工作，负责征集、办理公民、法人和其他组织提出的意见建议，向区委、区人民政府及时反映公民、法人和其他组织对全区各项事业发展提出的重要意见建议。</w:t>
      </w:r>
    </w:p>
    <w:p w14:paraId="5EDA182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（三）统筹推进党建引领基层治理和基层政权建设，协调推进城乡社区治理体系和治理能力建设，推进基层民主政治建设；指导监督基层群众自治制度的有效实施，健全基层群众自治机制。</w:t>
      </w:r>
    </w:p>
    <w:p w14:paraId="6FDE3C7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（四）指导全区社会组织党建工作，统一领导全区行业协会商会党的工作，协调推动行业协会商会深化改革和转型发展。</w:t>
      </w:r>
    </w:p>
    <w:p w14:paraId="3BC3151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五）指导全区混合所有制企业、非公有制企业和新经济组织、新社会组织、新就业群体党建工作，指导协调相关企业单位、社会组织、就业群体中党员的教育、管理、监督和服务工作；研究完善相关领域群众利益协调机制。</w:t>
      </w:r>
    </w:p>
    <w:p w14:paraId="460E296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（六）负责全区志愿服务的统筹规划、协调指导、督促检查；指导社会工作人才队伍建设。</w:t>
      </w:r>
    </w:p>
    <w:p w14:paraId="2856C71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（七）承办区委交办的其他事项。</w:t>
      </w:r>
    </w:p>
    <w:p w14:paraId="24203DBB">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14:paraId="03ED0541">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中共乌鲁木齐市达坂城区委员会社会工作部2024年度，实有人数2人，其中：在职人员2人，增加2人；离休人员0人，较上年无变化；退休人员0人，较上年无变化</w:t>
      </w:r>
      <w:r>
        <w:rPr>
          <w:rFonts w:hint="eastAsia" w:ascii="仿宋_GB2312" w:eastAsia="仿宋_GB2312"/>
          <w:sz w:val="32"/>
          <w:szCs w:val="32"/>
          <w:lang w:eastAsia="zh-CN"/>
        </w:rPr>
        <w:t>。</w:t>
      </w:r>
    </w:p>
    <w:p w14:paraId="36EF4BA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中共乌鲁木齐市达坂城区委员会社会工作部无下属预算单位，下设</w:t>
      </w:r>
      <w:r>
        <w:rPr>
          <w:rFonts w:hint="eastAsia" w:ascii="仿宋_GB2312" w:eastAsia="仿宋_GB2312"/>
          <w:sz w:val="32"/>
          <w:szCs w:val="32"/>
          <w:lang w:eastAsia="zh-CN"/>
        </w:rPr>
        <w:t>1</w:t>
      </w:r>
      <w:r>
        <w:rPr>
          <w:rFonts w:ascii="仿宋_GB2312" w:eastAsia="仿宋_GB2312"/>
          <w:sz w:val="32"/>
          <w:szCs w:val="32"/>
          <w:lang w:eastAsia="zh-CN"/>
        </w:rPr>
        <w:t>个</w:t>
      </w:r>
      <w:r>
        <w:rPr>
          <w:rFonts w:hint="eastAsia" w:ascii="仿宋_GB2312" w:eastAsia="仿宋_GB2312"/>
          <w:sz w:val="32"/>
          <w:szCs w:val="32"/>
          <w:lang w:eastAsia="zh-CN"/>
        </w:rPr>
        <w:t>科室</w:t>
      </w:r>
      <w:r>
        <w:rPr>
          <w:rFonts w:ascii="仿宋_GB2312" w:eastAsia="仿宋_GB2312"/>
          <w:sz w:val="32"/>
          <w:szCs w:val="32"/>
          <w:lang w:eastAsia="zh-CN"/>
        </w:rPr>
        <w:t>，分别是：</w:t>
      </w:r>
      <w:r>
        <w:rPr>
          <w:rFonts w:hint="eastAsia" w:ascii="仿宋_GB2312" w:eastAsia="仿宋_GB2312"/>
          <w:sz w:val="32"/>
          <w:szCs w:val="32"/>
          <w:lang w:eastAsia="zh-CN"/>
        </w:rPr>
        <w:t>办公室</w:t>
      </w:r>
      <w:r>
        <w:rPr>
          <w:rFonts w:ascii="仿宋_GB2312" w:eastAsia="仿宋_GB2312"/>
          <w:sz w:val="32"/>
          <w:szCs w:val="32"/>
          <w:lang w:eastAsia="zh-CN"/>
        </w:rPr>
        <w:t>。</w:t>
      </w:r>
    </w:p>
    <w:p w14:paraId="15372D7A">
      <w:pPr>
        <w:rPr>
          <w:lang w:eastAsia="zh-CN"/>
        </w:rPr>
      </w:pPr>
      <w:r>
        <w:rPr>
          <w:sz w:val="0"/>
          <w:szCs w:val="0"/>
          <w:lang w:eastAsia="zh-CN"/>
        </w:rPr>
        <w:br w:type="page"/>
      </w:r>
    </w:p>
    <w:p w14:paraId="00D85DF1">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14:paraId="07989802">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14:paraId="040C33B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2024年度收入总计6.72万元，其中：本年收入合计6.72万元，使用非财政拨款结余（含专用结余）0.00万元，年初结转和结余0.00万元。</w:t>
      </w:r>
    </w:p>
    <w:p w14:paraId="632887D2">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2024年度支出总计6.72万元，其中：本年支出合计6.72万元，结余分配0.00万元，年末结转和结余0.00万元。</w:t>
      </w:r>
    </w:p>
    <w:p w14:paraId="24EF7C6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收入支出总体与上年相比，增加</w:t>
      </w:r>
      <w:r>
        <w:rPr>
          <w:rFonts w:hint="eastAsia" w:ascii="仿宋_GB2312" w:eastAsia="仿宋_GB2312"/>
          <w:sz w:val="32"/>
          <w:szCs w:val="32"/>
          <w:lang w:eastAsia="zh-CN"/>
        </w:rPr>
        <w:t>6.72</w:t>
      </w:r>
      <w:r>
        <w:rPr>
          <w:rFonts w:ascii="仿宋_GB2312" w:eastAsia="仿宋_GB2312"/>
          <w:sz w:val="32"/>
          <w:szCs w:val="32"/>
          <w:lang w:eastAsia="zh-CN"/>
        </w:rPr>
        <w:t>万元，增长100%，主要原因是：</w:t>
      </w:r>
      <w:r>
        <w:rPr>
          <w:rFonts w:hint="eastAsia" w:ascii="仿宋_GB2312" w:eastAsia="仿宋_GB2312"/>
          <w:sz w:val="32"/>
          <w:szCs w:val="32"/>
          <w:lang w:eastAsia="zh-CN"/>
        </w:rPr>
        <w:t>本年</w:t>
      </w:r>
      <w:r>
        <w:rPr>
          <w:rFonts w:ascii="仿宋_GB2312" w:eastAsia="仿宋_GB2312"/>
          <w:sz w:val="32"/>
          <w:szCs w:val="32"/>
          <w:lang w:eastAsia="zh-CN"/>
        </w:rPr>
        <w:t>新增单位，</w:t>
      </w:r>
      <w:r>
        <w:rPr>
          <w:rFonts w:hint="eastAsia" w:ascii="仿宋_GB2312" w:eastAsia="仿宋_GB2312"/>
          <w:sz w:val="32"/>
          <w:szCs w:val="32"/>
          <w:lang w:eastAsia="zh-CN"/>
        </w:rPr>
        <w:t>人员工资、津贴补贴、奖金等经费</w:t>
      </w:r>
      <w:r>
        <w:rPr>
          <w:rFonts w:ascii="仿宋_GB2312" w:eastAsia="仿宋_GB2312"/>
          <w:sz w:val="32"/>
          <w:szCs w:val="32"/>
          <w:lang w:eastAsia="zh-CN"/>
        </w:rPr>
        <w:t>增加</w:t>
      </w:r>
      <w:r>
        <w:rPr>
          <w:rFonts w:hint="eastAsia" w:ascii="仿宋_GB2312" w:eastAsia="仿宋_GB2312"/>
          <w:sz w:val="32"/>
          <w:szCs w:val="32"/>
          <w:lang w:eastAsia="zh-CN"/>
        </w:rPr>
        <w:t>，社工部运转</w:t>
      </w:r>
      <w:r>
        <w:rPr>
          <w:rFonts w:ascii="仿宋_GB2312" w:eastAsia="仿宋_GB2312"/>
          <w:sz w:val="32"/>
          <w:szCs w:val="32"/>
          <w:lang w:eastAsia="zh-CN"/>
        </w:rPr>
        <w:t>经费增加。</w:t>
      </w:r>
    </w:p>
    <w:p w14:paraId="1284A6B5">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14:paraId="05FC2A1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本年收入6.72万元，其中：财政拨款收入6.72万元,占100.00%；上级补助收入0.00万元,占0.00%；事业收入0.00万元，占0.00%；经营收入0.00万元,占0.00%；附属单位上缴收入0.00万元，占0.00%；其他收入0.00万元，占0.00%。</w:t>
      </w:r>
    </w:p>
    <w:p w14:paraId="35E6D6D9">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14:paraId="73CD024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本年支出6.72万元，其中：基本支出5.82万元，占86.61%；项目支出0.90万元，占13.39%；上缴上级支出0.00万元，占0.00%；经营支出0.00万元，占0.00%；对附属单位补助支出0.00万元，占0.00%。</w:t>
      </w:r>
    </w:p>
    <w:p w14:paraId="1ADDF1AE">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14:paraId="4F8D728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2024年度财政拨款收入总计6.72万元，其中：年初财政拨款结转和结余0.00万元，本年财政拨款收入6.72万元。财政拨款支出总计6.72万元，其中：年末财政拨款结转和结余0.00万元，本年财政拨款支出6.72万元。</w:t>
      </w:r>
    </w:p>
    <w:p w14:paraId="0070A35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财政拨款收入支出总体与上年相比，增加6.72万元，增长</w:t>
      </w:r>
      <w:r>
        <w:rPr>
          <w:rFonts w:hint="eastAsia" w:ascii="仿宋_GB2312" w:eastAsia="仿宋_GB2312"/>
          <w:sz w:val="32"/>
          <w:szCs w:val="32"/>
          <w:lang w:eastAsia="zh-CN"/>
        </w:rPr>
        <w:t>100%</w:t>
      </w:r>
      <w:r>
        <w:rPr>
          <w:rFonts w:ascii="仿宋_GB2312" w:eastAsia="仿宋_GB2312"/>
          <w:sz w:val="32"/>
          <w:szCs w:val="32"/>
          <w:lang w:eastAsia="zh-CN"/>
        </w:rPr>
        <w:t>，主要原因是：</w:t>
      </w:r>
      <w:r>
        <w:rPr>
          <w:rFonts w:hint="eastAsia" w:ascii="仿宋_GB2312" w:eastAsia="仿宋_GB2312"/>
          <w:sz w:val="32"/>
          <w:szCs w:val="32"/>
          <w:lang w:eastAsia="zh-CN"/>
        </w:rPr>
        <w:t>本年</w:t>
      </w:r>
      <w:r>
        <w:rPr>
          <w:rFonts w:ascii="仿宋_GB2312" w:eastAsia="仿宋_GB2312"/>
          <w:sz w:val="32"/>
          <w:szCs w:val="32"/>
          <w:lang w:eastAsia="zh-CN"/>
        </w:rPr>
        <w:t>新增单位，</w:t>
      </w:r>
      <w:r>
        <w:rPr>
          <w:rFonts w:hint="eastAsia" w:ascii="仿宋_GB2312" w:eastAsia="仿宋_GB2312"/>
          <w:sz w:val="32"/>
          <w:szCs w:val="32"/>
          <w:lang w:eastAsia="zh-CN"/>
        </w:rPr>
        <w:t>人员工资、津贴补贴、奖金等经费</w:t>
      </w:r>
      <w:r>
        <w:rPr>
          <w:rFonts w:ascii="仿宋_GB2312" w:eastAsia="仿宋_GB2312"/>
          <w:sz w:val="32"/>
          <w:szCs w:val="32"/>
          <w:lang w:eastAsia="zh-CN"/>
        </w:rPr>
        <w:t>增加</w:t>
      </w:r>
      <w:r>
        <w:rPr>
          <w:rFonts w:hint="eastAsia" w:ascii="仿宋_GB2312" w:eastAsia="仿宋_GB2312"/>
          <w:sz w:val="32"/>
          <w:szCs w:val="32"/>
          <w:lang w:eastAsia="zh-CN"/>
        </w:rPr>
        <w:t>，社工部运转</w:t>
      </w:r>
      <w:r>
        <w:rPr>
          <w:rFonts w:ascii="仿宋_GB2312" w:eastAsia="仿宋_GB2312"/>
          <w:sz w:val="32"/>
          <w:szCs w:val="32"/>
          <w:lang w:eastAsia="zh-CN"/>
        </w:rPr>
        <w:t>经费增加。与年初预算相比，年初预算数0.00万元，决算数6.72万元，预决算差异率100%，主要原因是：本年新增单位，</w:t>
      </w:r>
      <w:r>
        <w:rPr>
          <w:rFonts w:hint="eastAsia" w:ascii="仿宋_GB2312" w:eastAsia="仿宋_GB2312"/>
          <w:sz w:val="32"/>
          <w:szCs w:val="32"/>
          <w:lang w:eastAsia="zh-CN"/>
        </w:rPr>
        <w:t>追加人员工资、津贴补贴、奖金等经费，社工部运转</w:t>
      </w:r>
      <w:r>
        <w:rPr>
          <w:rFonts w:ascii="仿宋_GB2312" w:eastAsia="仿宋_GB2312"/>
          <w:sz w:val="32"/>
          <w:szCs w:val="32"/>
          <w:lang w:eastAsia="zh-CN"/>
        </w:rPr>
        <w:t>经费。</w:t>
      </w:r>
    </w:p>
    <w:p w14:paraId="7C369D03">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14:paraId="56327194">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14:paraId="683C18F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2024年度一般公共预算财政拨款支出6.72万元，占本年支出合计的100.00%。与上年相比，增加6.72万元，增长100%，主要原因是：</w:t>
      </w:r>
      <w:r>
        <w:rPr>
          <w:rFonts w:hint="eastAsia" w:ascii="仿宋_GB2312" w:eastAsia="仿宋_GB2312"/>
          <w:sz w:val="32"/>
          <w:szCs w:val="32"/>
          <w:lang w:eastAsia="zh-CN"/>
        </w:rPr>
        <w:t>本年</w:t>
      </w:r>
      <w:r>
        <w:rPr>
          <w:rFonts w:ascii="仿宋_GB2312" w:eastAsia="仿宋_GB2312"/>
          <w:sz w:val="32"/>
          <w:szCs w:val="32"/>
          <w:lang w:eastAsia="zh-CN"/>
        </w:rPr>
        <w:t>新增单位，</w:t>
      </w:r>
      <w:r>
        <w:rPr>
          <w:rFonts w:hint="eastAsia" w:ascii="仿宋_GB2312" w:eastAsia="仿宋_GB2312"/>
          <w:sz w:val="32"/>
          <w:szCs w:val="32"/>
          <w:lang w:eastAsia="zh-CN"/>
        </w:rPr>
        <w:t>人员工资、津贴补贴、奖金等经费</w:t>
      </w:r>
      <w:r>
        <w:rPr>
          <w:rFonts w:ascii="仿宋_GB2312" w:eastAsia="仿宋_GB2312"/>
          <w:sz w:val="32"/>
          <w:szCs w:val="32"/>
          <w:lang w:eastAsia="zh-CN"/>
        </w:rPr>
        <w:t>增加</w:t>
      </w:r>
      <w:r>
        <w:rPr>
          <w:rFonts w:hint="eastAsia" w:ascii="仿宋_GB2312" w:eastAsia="仿宋_GB2312"/>
          <w:sz w:val="32"/>
          <w:szCs w:val="32"/>
          <w:lang w:eastAsia="zh-CN"/>
        </w:rPr>
        <w:t>，社工部运转</w:t>
      </w:r>
      <w:r>
        <w:rPr>
          <w:rFonts w:ascii="仿宋_GB2312" w:eastAsia="仿宋_GB2312"/>
          <w:sz w:val="32"/>
          <w:szCs w:val="32"/>
          <w:lang w:eastAsia="zh-CN"/>
        </w:rPr>
        <w:t>经费增加。与年初预算相比，年初预算数0.00万元，决算数6.72万元，预决算差异率100%，主要原因是：本年新增单位，</w:t>
      </w:r>
      <w:r>
        <w:rPr>
          <w:rFonts w:hint="eastAsia" w:ascii="仿宋_GB2312" w:eastAsia="仿宋_GB2312"/>
          <w:sz w:val="32"/>
          <w:szCs w:val="32"/>
          <w:lang w:eastAsia="zh-CN"/>
        </w:rPr>
        <w:t>追加人员工资、津贴补贴、奖金等经费，社工部运转</w:t>
      </w:r>
      <w:r>
        <w:rPr>
          <w:rFonts w:ascii="仿宋_GB2312" w:eastAsia="仿宋_GB2312"/>
          <w:sz w:val="32"/>
          <w:szCs w:val="32"/>
          <w:lang w:eastAsia="zh-CN"/>
        </w:rPr>
        <w:t>经费。</w:t>
      </w:r>
    </w:p>
    <w:p w14:paraId="6496087A">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14:paraId="6AD0273B">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一般公共服务支出（类）6.72万元，占100.00%。</w:t>
      </w:r>
    </w:p>
    <w:p w14:paraId="4E7DE663">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14:paraId="4EFC49CB">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1、一般公共服务支出（类）社会工作事务（款）行政运行（项）：支出决算数为5.59万元，比上年决算增加5.59万元，增长100.00%，主要原因是：</w:t>
      </w:r>
      <w:r>
        <w:rPr>
          <w:rFonts w:hint="eastAsia" w:ascii="仿宋_GB2312" w:eastAsia="仿宋_GB2312"/>
          <w:sz w:val="32"/>
          <w:szCs w:val="32"/>
          <w:lang w:eastAsia="zh-CN"/>
        </w:rPr>
        <w:t>本年</w:t>
      </w:r>
      <w:r>
        <w:rPr>
          <w:rFonts w:ascii="仿宋_GB2312" w:eastAsia="仿宋_GB2312"/>
          <w:sz w:val="32"/>
          <w:szCs w:val="32"/>
          <w:lang w:eastAsia="zh-CN"/>
        </w:rPr>
        <w:t>新增单位，</w:t>
      </w:r>
      <w:r>
        <w:rPr>
          <w:rFonts w:hint="eastAsia" w:ascii="仿宋_GB2312" w:eastAsia="仿宋_GB2312"/>
          <w:sz w:val="32"/>
          <w:szCs w:val="32"/>
          <w:lang w:eastAsia="zh-CN"/>
        </w:rPr>
        <w:t>人员工资、津贴补贴、奖金等经费</w:t>
      </w:r>
      <w:r>
        <w:rPr>
          <w:rFonts w:ascii="仿宋_GB2312" w:eastAsia="仿宋_GB2312"/>
          <w:sz w:val="32"/>
          <w:szCs w:val="32"/>
          <w:lang w:eastAsia="zh-CN"/>
        </w:rPr>
        <w:t>增加。</w:t>
      </w:r>
    </w:p>
    <w:p w14:paraId="3FA7C4D1">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2、一般公共服务支出（类）社会工作事务（款）事业运行（项）：支出决算数为0.23万元，比上年决算增加0.23万元，增长100.00%，主要原因是：</w:t>
      </w:r>
      <w:r>
        <w:rPr>
          <w:rFonts w:hint="eastAsia" w:ascii="仿宋_GB2312" w:eastAsia="仿宋_GB2312"/>
          <w:sz w:val="32"/>
          <w:szCs w:val="32"/>
          <w:lang w:eastAsia="zh-CN"/>
        </w:rPr>
        <w:t>本年</w:t>
      </w:r>
      <w:r>
        <w:rPr>
          <w:rFonts w:ascii="仿宋_GB2312" w:eastAsia="仿宋_GB2312"/>
          <w:sz w:val="32"/>
          <w:szCs w:val="32"/>
          <w:lang w:eastAsia="zh-CN"/>
        </w:rPr>
        <w:t>新增单位，</w:t>
      </w:r>
      <w:r>
        <w:rPr>
          <w:rFonts w:hint="eastAsia" w:ascii="仿宋_GB2312" w:eastAsia="仿宋_GB2312"/>
          <w:sz w:val="32"/>
          <w:szCs w:val="32"/>
          <w:lang w:eastAsia="zh-CN"/>
        </w:rPr>
        <w:t>人员工资、津贴补贴、奖金等经费</w:t>
      </w:r>
      <w:r>
        <w:rPr>
          <w:rFonts w:ascii="仿宋_GB2312" w:eastAsia="仿宋_GB2312"/>
          <w:sz w:val="32"/>
          <w:szCs w:val="32"/>
          <w:lang w:eastAsia="zh-CN"/>
        </w:rPr>
        <w:t>增加。</w:t>
      </w:r>
    </w:p>
    <w:p w14:paraId="22365820">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3、一般公共服务支出（类）社会工作事务（款）其他社会工作事务支出（项）：支出决算数为0.90万元，比上年决算增加0.90万元，增长100.00%，主要原因是：</w:t>
      </w:r>
      <w:r>
        <w:rPr>
          <w:rFonts w:hint="eastAsia" w:ascii="仿宋_GB2312" w:eastAsia="仿宋_GB2312"/>
          <w:sz w:val="32"/>
          <w:szCs w:val="32"/>
          <w:lang w:eastAsia="zh-CN"/>
        </w:rPr>
        <w:t>本年</w:t>
      </w:r>
      <w:r>
        <w:rPr>
          <w:rFonts w:ascii="仿宋_GB2312" w:eastAsia="仿宋_GB2312"/>
          <w:sz w:val="32"/>
          <w:szCs w:val="32"/>
          <w:lang w:eastAsia="zh-CN"/>
        </w:rPr>
        <w:t>新增单位</w:t>
      </w:r>
      <w:r>
        <w:rPr>
          <w:rFonts w:hint="eastAsia" w:ascii="仿宋_GB2312" w:eastAsia="仿宋_GB2312"/>
          <w:sz w:val="32"/>
          <w:szCs w:val="32"/>
          <w:lang w:eastAsia="zh-CN"/>
        </w:rPr>
        <w:t>，社工部运转经费增加</w:t>
      </w:r>
      <w:r>
        <w:rPr>
          <w:rFonts w:ascii="仿宋_GB2312" w:eastAsia="仿宋_GB2312"/>
          <w:sz w:val="32"/>
          <w:szCs w:val="32"/>
          <w:lang w:eastAsia="zh-CN"/>
        </w:rPr>
        <w:t>。</w:t>
      </w:r>
    </w:p>
    <w:p w14:paraId="19DF8112">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14:paraId="2E6740E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5.82万元，其中：人员经费5.82万元，包括：基本工资、津贴补贴、奖金、绩效工资、机关事业单位基本养老保险缴费、职工基本医疗保险缴费、公务员医疗补助缴费、其他社会保障缴费和住房公积金。</w:t>
      </w:r>
    </w:p>
    <w:p w14:paraId="4A3245B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公用经费0.00万元。</w:t>
      </w:r>
    </w:p>
    <w:p w14:paraId="05AA8A14">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14:paraId="7A7FE4F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178112A2">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14:paraId="4DB49E67">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252DAF2F">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14:paraId="64A668C7">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5F0E77CD">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14:paraId="4916E7B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因公出国（境）费支出0.00万元，开支内容包括本单位本年度无因公出国（境）费</w:t>
      </w:r>
      <w:bookmarkStart w:id="0" w:name="_GoBack"/>
      <w:bookmarkEnd w:id="0"/>
      <w:r>
        <w:rPr>
          <w:rFonts w:ascii="仿宋_GB2312" w:eastAsia="仿宋_GB2312"/>
          <w:sz w:val="32"/>
          <w:szCs w:val="32"/>
          <w:lang w:eastAsia="zh-CN"/>
        </w:rPr>
        <w:t>。单位全年安排的因公出国（境）团组0个，因公出国（境）0人次。</w:t>
      </w:r>
    </w:p>
    <w:p w14:paraId="0EC31A37">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Pr>
          <w:rFonts w:hint="eastAsia" w:ascii="仿宋_GB2312" w:eastAsia="仿宋_GB2312"/>
          <w:sz w:val="32"/>
          <w:szCs w:val="32"/>
          <w:lang w:eastAsia="zh-CN"/>
        </w:rPr>
        <w:t>本</w:t>
      </w:r>
      <w:r>
        <w:rPr>
          <w:rFonts w:ascii="仿宋_GB2312" w:eastAsia="仿宋_GB2312"/>
          <w:sz w:val="32"/>
          <w:szCs w:val="32"/>
          <w:lang w:eastAsia="zh-CN"/>
        </w:rPr>
        <w:t>单位本年度无公务用车运行维护费。公务用车购置数0辆，公务用车保有量0辆。国有资产占用情况中固定资产车辆0辆，与公务用车保有量差异原因是：本单位</w:t>
      </w:r>
      <w:r>
        <w:rPr>
          <w:rFonts w:hint="eastAsia" w:ascii="仿宋_GB2312" w:eastAsia="仿宋_GB2312"/>
          <w:sz w:val="32"/>
          <w:szCs w:val="32"/>
          <w:lang w:eastAsia="zh-CN"/>
        </w:rPr>
        <w:t>固定资产车辆与公务用车保有量一致无差异</w:t>
      </w:r>
      <w:r>
        <w:rPr>
          <w:rFonts w:ascii="仿宋_GB2312" w:eastAsia="仿宋_GB2312"/>
          <w:sz w:val="32"/>
          <w:szCs w:val="32"/>
          <w:lang w:eastAsia="zh-CN"/>
        </w:rPr>
        <w:t>。</w:t>
      </w:r>
    </w:p>
    <w:p w14:paraId="6DD16A3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公务接待费0.00万元，开支内容包括本单位本年度无公务接待费。单位全年安排的国内公务接待0批次，0人次。</w:t>
      </w:r>
    </w:p>
    <w:p w14:paraId="15E4058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67B53EE5">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14:paraId="2F3AC723">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14:paraId="7CF64B6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2024年度中共乌鲁木齐市达坂城区委员会社会工作部单位（行政单位和参照公务员法管理事业单位）机关运行经费支出0.00万元，与上年相比无变化</w:t>
      </w:r>
      <w:r>
        <w:rPr>
          <w:rFonts w:hint="eastAsia" w:ascii="仿宋_GB2312" w:eastAsia="仿宋_GB2312"/>
          <w:sz w:val="32"/>
          <w:szCs w:val="32"/>
          <w:lang w:eastAsia="zh-CN"/>
        </w:rPr>
        <w:t>，</w:t>
      </w:r>
      <w:r>
        <w:rPr>
          <w:rFonts w:ascii="仿宋_GB2312" w:eastAsia="仿宋_GB2312"/>
          <w:sz w:val="32"/>
          <w:szCs w:val="32"/>
          <w:lang w:eastAsia="zh-CN"/>
        </w:rPr>
        <w:t>主要原因是</w:t>
      </w:r>
      <w:r>
        <w:rPr>
          <w:rFonts w:hint="eastAsia" w:ascii="仿宋_GB2312" w:eastAsia="仿宋_GB2312"/>
          <w:sz w:val="32"/>
          <w:szCs w:val="32"/>
          <w:lang w:eastAsia="zh-CN"/>
        </w:rPr>
        <w:t>：我单位为新增单位，本年度无此项经费</w:t>
      </w:r>
      <w:r>
        <w:rPr>
          <w:rFonts w:ascii="仿宋_GB2312" w:eastAsia="仿宋_GB2312"/>
          <w:sz w:val="32"/>
          <w:szCs w:val="32"/>
          <w:lang w:eastAsia="zh-CN"/>
        </w:rPr>
        <w:t>。</w:t>
      </w:r>
    </w:p>
    <w:p w14:paraId="0FB879E7">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14:paraId="33295C9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2024年度政府采购支出总额0.00万元，其中：政府采购货物支出0.00万元、政府采购工程支出0.00万元、政府采购服务支出0.00万元。</w:t>
      </w:r>
    </w:p>
    <w:p w14:paraId="54D13C1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授予中小企业合同金额0.00万元，占政府采购支出总额的0.00%，其中：授予小微企业合同金额0.00万元，占政府采购支出总额的0.00%。</w:t>
      </w:r>
    </w:p>
    <w:p w14:paraId="79FAD2CF">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14:paraId="26763F9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1726F61">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14:paraId="3E27A8D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w:t>
      </w:r>
      <w:r>
        <w:rPr>
          <w:rFonts w:hint="eastAsia" w:ascii="仿宋_GB2312" w:eastAsia="仿宋_GB2312"/>
          <w:sz w:val="32"/>
          <w:szCs w:val="32"/>
          <w:lang w:eastAsia="zh-CN"/>
        </w:rPr>
        <w:t>本单位2024年度预算绩效评价项目0个，全年预算数0.00万元，全年执行数0.00万元。</w:t>
      </w:r>
      <w:r>
        <w:rPr>
          <w:rFonts w:ascii="仿宋_GB2312" w:eastAsia="仿宋_GB2312"/>
          <w:sz w:val="32"/>
          <w:szCs w:val="32"/>
          <w:lang w:eastAsia="zh-CN"/>
        </w:rPr>
        <w:t>预算绩效管理取得的成效：</w:t>
      </w:r>
      <w:r>
        <w:rPr>
          <w:rFonts w:hint="eastAsia" w:ascii="仿宋_GB2312" w:eastAsia="仿宋_GB2312"/>
          <w:sz w:val="32"/>
          <w:szCs w:val="32"/>
          <w:lang w:eastAsia="zh-CN"/>
        </w:rPr>
        <w:t>我单位本年无</w:t>
      </w:r>
      <w:r>
        <w:rPr>
          <w:rFonts w:ascii="仿宋_GB2312" w:eastAsia="仿宋_GB2312"/>
          <w:sz w:val="32"/>
          <w:szCs w:val="32"/>
          <w:lang w:eastAsia="zh-CN"/>
        </w:rPr>
        <w:t>整体支出绩效自评表</w:t>
      </w:r>
      <w:r>
        <w:rPr>
          <w:rFonts w:hint="eastAsia" w:ascii="仿宋_GB2312" w:eastAsia="仿宋_GB2312"/>
          <w:sz w:val="32"/>
          <w:szCs w:val="32"/>
          <w:lang w:eastAsia="zh-CN"/>
        </w:rPr>
        <w:t>及预算绩效管理的项目</w:t>
      </w:r>
      <w:r>
        <w:rPr>
          <w:rFonts w:ascii="仿宋_GB2312" w:eastAsia="仿宋_GB2312"/>
          <w:sz w:val="32"/>
          <w:szCs w:val="32"/>
          <w:lang w:eastAsia="zh-CN"/>
        </w:rPr>
        <w:t>。发现的问题及原因：</w:t>
      </w:r>
      <w:r>
        <w:rPr>
          <w:rFonts w:hint="eastAsia" w:ascii="仿宋_GB2312" w:eastAsia="仿宋_GB2312"/>
          <w:sz w:val="32"/>
          <w:szCs w:val="32"/>
          <w:lang w:eastAsia="zh-CN"/>
        </w:rPr>
        <w:t>我单位本年无</w:t>
      </w:r>
      <w:r>
        <w:rPr>
          <w:rFonts w:ascii="仿宋_GB2312" w:eastAsia="仿宋_GB2312"/>
          <w:sz w:val="32"/>
          <w:szCs w:val="32"/>
          <w:lang w:eastAsia="zh-CN"/>
        </w:rPr>
        <w:t>整体支出绩效自评表</w:t>
      </w:r>
      <w:r>
        <w:rPr>
          <w:rFonts w:hint="eastAsia" w:ascii="仿宋_GB2312" w:eastAsia="仿宋_GB2312"/>
          <w:sz w:val="32"/>
          <w:szCs w:val="32"/>
          <w:lang w:eastAsia="zh-CN"/>
        </w:rPr>
        <w:t>及预算绩效管理的项目</w:t>
      </w:r>
      <w:r>
        <w:rPr>
          <w:rFonts w:ascii="仿宋_GB2312" w:eastAsia="仿宋_GB2312"/>
          <w:sz w:val="32"/>
          <w:szCs w:val="32"/>
          <w:lang w:eastAsia="zh-CN"/>
        </w:rPr>
        <w:t>。下一步改进措施：</w:t>
      </w:r>
      <w:r>
        <w:rPr>
          <w:rFonts w:hint="eastAsia" w:ascii="仿宋_GB2312" w:eastAsia="仿宋_GB2312"/>
          <w:sz w:val="32"/>
          <w:szCs w:val="32"/>
          <w:lang w:eastAsia="zh-CN"/>
        </w:rPr>
        <w:t>我单位本年无</w:t>
      </w:r>
      <w:r>
        <w:rPr>
          <w:rFonts w:ascii="仿宋_GB2312" w:eastAsia="仿宋_GB2312"/>
          <w:sz w:val="32"/>
          <w:szCs w:val="32"/>
          <w:lang w:eastAsia="zh-CN"/>
        </w:rPr>
        <w:t>整体支出绩效自评表</w:t>
      </w:r>
      <w:r>
        <w:rPr>
          <w:rFonts w:hint="eastAsia" w:ascii="仿宋_GB2312" w:eastAsia="仿宋_GB2312"/>
          <w:sz w:val="32"/>
          <w:szCs w:val="32"/>
          <w:lang w:eastAsia="zh-CN"/>
        </w:rPr>
        <w:t>及预算绩效管理的项目。</w:t>
      </w:r>
    </w:p>
    <w:p w14:paraId="128425D5">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14:paraId="72AC0FED">
      <w:pPr>
        <w:shd w:val="clear" w:color="auto" w:fill="FFFFFF" w:themeFill="background1"/>
        <w:spacing w:after="0" w:line="240" w:lineRule="auto"/>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我单位2024年度无政府采购支出，授予中小企业合同金额0.00万元。</w:t>
      </w:r>
    </w:p>
    <w:p w14:paraId="52364919">
      <w:pPr>
        <w:shd w:val="clear" w:color="auto" w:fill="FFFFFF" w:themeFill="background1"/>
        <w:spacing w:after="0" w:line="240" w:lineRule="auto"/>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我单位为本年新增单位，本年无</w:t>
      </w:r>
      <w:r>
        <w:rPr>
          <w:rFonts w:ascii="仿宋_GB2312" w:eastAsia="仿宋_GB2312"/>
          <w:sz w:val="32"/>
          <w:szCs w:val="32"/>
          <w:lang w:eastAsia="zh-CN"/>
        </w:rPr>
        <w:t>整体支出绩效自评表</w:t>
      </w:r>
      <w:r>
        <w:rPr>
          <w:rFonts w:hint="eastAsia" w:ascii="仿宋_GB2312" w:eastAsia="仿宋_GB2312"/>
          <w:sz w:val="32"/>
          <w:szCs w:val="32"/>
          <w:lang w:eastAsia="zh-CN"/>
        </w:rPr>
        <w:t>及预算绩效管理的项目。</w:t>
      </w:r>
    </w:p>
    <w:p w14:paraId="4DEBF61A">
      <w:pPr>
        <w:rPr>
          <w:lang w:eastAsia="zh-CN"/>
        </w:rPr>
      </w:pPr>
      <w:r>
        <w:rPr>
          <w:sz w:val="0"/>
          <w:szCs w:val="0"/>
          <w:lang w:eastAsia="zh-CN"/>
        </w:rPr>
        <w:br w:type="page"/>
      </w:r>
    </w:p>
    <w:p w14:paraId="704D18C9">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14:paraId="58BCD2F3">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5EF59EE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0FDDC99B">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4A8BEFF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75809F9A">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6277D9D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2AED19E6">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65074BA4">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3EDD08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3565D835">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1F244B3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4E65336C">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1B729EE9">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74720F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1EC89925">
      <w:pPr>
        <w:rPr>
          <w:lang w:eastAsia="zh-CN"/>
        </w:rPr>
      </w:pPr>
      <w:r>
        <w:rPr>
          <w:sz w:val="0"/>
          <w:szCs w:val="0"/>
          <w:lang w:eastAsia="zh-CN"/>
        </w:rPr>
        <w:br w:type="page"/>
      </w:r>
    </w:p>
    <w:p w14:paraId="10A7EC1F">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14:paraId="151A2646">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273B0A12">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14:paraId="1EFE28B0">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14:paraId="176B9ABE">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161C2459">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50AB1C15">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4F6142D8">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614E43EA">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129053FC">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17"/>
    <w:rsid w:val="000426BA"/>
    <w:rsid w:val="00183632"/>
    <w:rsid w:val="001F7D63"/>
    <w:rsid w:val="002904B9"/>
    <w:rsid w:val="004E190D"/>
    <w:rsid w:val="005210BB"/>
    <w:rsid w:val="00534429"/>
    <w:rsid w:val="005E648D"/>
    <w:rsid w:val="007B0C73"/>
    <w:rsid w:val="007C4F32"/>
    <w:rsid w:val="00882CC6"/>
    <w:rsid w:val="00897593"/>
    <w:rsid w:val="00A10517"/>
    <w:rsid w:val="00AC7C5B"/>
    <w:rsid w:val="00C7448B"/>
    <w:rsid w:val="214D3AE6"/>
    <w:rsid w:val="26DE0879"/>
    <w:rsid w:val="40D42E64"/>
    <w:rsid w:val="59C8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字符"/>
    <w:basedOn w:val="14"/>
    <w:link w:val="9"/>
    <w:qFormat/>
    <w:uiPriority w:val="99"/>
  </w:style>
  <w:style w:type="character" w:customStyle="1" w:styleId="18">
    <w:name w:val="标题 1 字符"/>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标题 2 字符"/>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标题 3 字符"/>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标题 4 字符"/>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副标题 字符"/>
    <w:basedOn w:val="14"/>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标题 字符"/>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页脚 字符"/>
    <w:basedOn w:val="14"/>
    <w:link w:val="8"/>
    <w:qFormat/>
    <w:uiPriority w:val="99"/>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5054</Words>
  <Characters>5462</Characters>
  <Lines>138</Lines>
  <Paragraphs>121</Paragraphs>
  <TotalTime>15</TotalTime>
  <ScaleCrop>false</ScaleCrop>
  <LinksUpToDate>false</LinksUpToDate>
  <CharactersWithSpaces>5471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2025-08-26T07:53:00Z</dcterms:created>
  <dc:creator>Administrator</dc:creator>
  <cp:lastModifiedBy>.</cp:lastModifiedBy>
  <dcterms:modified xsi:type="dcterms:W3CDTF">2025-11-20T07:17:42Z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eyJoZGlkIjoiYjYwNjEzMDY1YmY2YWIzMWRmOWNiOTYxNmUyNmI0OTQiLCJ1c2VySWQiOiI0MDk1MDg2NjAifQ==</vt:lpwstr>
  </property>
  <property fmtid="{D5CDD505-2E9C-101B-9397-08002B2CF9AE}" pid="3" name="KSOProductBuildVer">
    <vt:lpwstr>2052-12.1.0.19770</vt:lpwstr>
  </property>
  <property fmtid="{D5CDD505-2E9C-101B-9397-08002B2CF9AE}" pid="4" name="ICV">
    <vt:lpwstr>814A317DC25548E39E243937E4CBBAA5_13</vt:lpwstr>
  </property>
</Properties>
</file>