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40CED">
      <w:pPr>
        <w:spacing w:line="540" w:lineRule="exact"/>
        <w:jc w:val="center"/>
        <w:rPr>
          <w:rFonts w:hint="default" w:ascii="Times New Roman" w:hAnsi="Times New Roman" w:eastAsia="华文中宋" w:cs="Times New Roman"/>
          <w:b/>
          <w:kern w:val="0"/>
          <w:sz w:val="52"/>
          <w:szCs w:val="52"/>
        </w:rPr>
      </w:pPr>
      <w:bookmarkStart w:id="19" w:name="_GoBack"/>
      <w:bookmarkEnd w:id="19"/>
    </w:p>
    <w:p w14:paraId="2400BA1F">
      <w:pPr>
        <w:spacing w:line="540" w:lineRule="exact"/>
        <w:rPr>
          <w:rFonts w:hint="default" w:ascii="Times New Roman" w:hAnsi="Times New Roman" w:eastAsia="华文中宋" w:cs="Times New Roman"/>
          <w:b/>
          <w:kern w:val="0"/>
          <w:sz w:val="52"/>
          <w:szCs w:val="52"/>
        </w:rPr>
      </w:pPr>
    </w:p>
    <w:p w14:paraId="22ABA86A">
      <w:pPr>
        <w:spacing w:line="540" w:lineRule="exact"/>
        <w:jc w:val="center"/>
        <w:rPr>
          <w:rFonts w:hint="default" w:ascii="Times New Roman" w:hAnsi="Times New Roman" w:eastAsia="华文中宋" w:cs="Times New Roman"/>
          <w:b/>
          <w:kern w:val="0"/>
          <w:sz w:val="52"/>
          <w:szCs w:val="52"/>
        </w:rPr>
      </w:pPr>
    </w:p>
    <w:p w14:paraId="3B21CE77">
      <w:pPr>
        <w:spacing w:line="540" w:lineRule="exact"/>
        <w:jc w:val="center"/>
        <w:rPr>
          <w:rFonts w:hint="default" w:ascii="Times New Roman" w:hAnsi="Times New Roman" w:eastAsia="华文中宋" w:cs="Times New Roman"/>
          <w:b/>
          <w:kern w:val="0"/>
          <w:sz w:val="52"/>
          <w:szCs w:val="52"/>
        </w:rPr>
      </w:pPr>
    </w:p>
    <w:p w14:paraId="45A066F9">
      <w:pPr>
        <w:spacing w:line="540" w:lineRule="exact"/>
        <w:jc w:val="center"/>
        <w:rPr>
          <w:rFonts w:hint="default" w:ascii="Times New Roman" w:hAnsi="Times New Roman" w:eastAsia="方正小标宋_GBK" w:cs="Times New Roman"/>
          <w:kern w:val="0"/>
          <w:sz w:val="48"/>
          <w:szCs w:val="48"/>
        </w:rPr>
      </w:pPr>
      <w:r>
        <w:rPr>
          <w:rFonts w:hint="eastAsia" w:ascii="Times New Roman" w:hAnsi="Times New Roman" w:eastAsia="方正小标宋_GBK" w:cs="Times New Roman"/>
          <w:kern w:val="0"/>
          <w:sz w:val="48"/>
          <w:szCs w:val="48"/>
        </w:rPr>
        <w:t>2024年本级追加，达党财纪字〔2024〕1号（21），追加机关工委机关工会联合会经费</w:t>
      </w:r>
      <w:r>
        <w:rPr>
          <w:rFonts w:hint="default" w:ascii="Times New Roman" w:hAnsi="Times New Roman" w:eastAsia="方正小标宋_GBK" w:cs="Times New Roman"/>
          <w:kern w:val="0"/>
          <w:sz w:val="48"/>
          <w:szCs w:val="48"/>
        </w:rPr>
        <w:t>项目支出绩效评价报告</w:t>
      </w:r>
    </w:p>
    <w:p w14:paraId="0D0CBA06">
      <w:pPr>
        <w:spacing w:line="540" w:lineRule="exact"/>
        <w:jc w:val="center"/>
        <w:rPr>
          <w:rFonts w:hint="default" w:ascii="Times New Roman" w:hAnsi="Times New Roman" w:eastAsia="华文中宋" w:cs="Times New Roman"/>
          <w:b/>
          <w:kern w:val="0"/>
          <w:sz w:val="52"/>
          <w:szCs w:val="52"/>
        </w:rPr>
      </w:pPr>
    </w:p>
    <w:p w14:paraId="55B7FEDE">
      <w:pPr>
        <w:spacing w:line="540" w:lineRule="exact"/>
        <w:jc w:val="center"/>
        <w:rPr>
          <w:rFonts w:hint="default" w:ascii="Times New Roman" w:hAnsi="Times New Roman" w:eastAsia="仿宋_GB2312" w:cs="Times New Roman"/>
          <w:kern w:val="0"/>
          <w:sz w:val="36"/>
          <w:szCs w:val="36"/>
        </w:rPr>
      </w:pPr>
      <w:r>
        <w:rPr>
          <w:rFonts w:hint="default" w:ascii="Times New Roman" w:hAnsi="Times New Roman" w:eastAsia="仿宋_GB2312" w:cs="Times New Roman"/>
          <w:kern w:val="0"/>
          <w:sz w:val="36"/>
          <w:szCs w:val="36"/>
        </w:rPr>
        <w:t>（202</w:t>
      </w:r>
      <w:r>
        <w:rPr>
          <w:rFonts w:hint="default" w:ascii="Times New Roman" w:hAnsi="Times New Roman" w:eastAsia="仿宋_GB2312" w:cs="Times New Roman"/>
          <w:kern w:val="0"/>
          <w:sz w:val="36"/>
          <w:szCs w:val="36"/>
          <w:lang w:val="en-US" w:eastAsia="zh-CN"/>
        </w:rPr>
        <w:t>4</w:t>
      </w:r>
      <w:r>
        <w:rPr>
          <w:rFonts w:hint="default" w:ascii="Times New Roman" w:hAnsi="Times New Roman" w:eastAsia="仿宋_GB2312" w:cs="Times New Roman"/>
          <w:kern w:val="0"/>
          <w:sz w:val="36"/>
          <w:szCs w:val="36"/>
        </w:rPr>
        <w:t>年度）</w:t>
      </w:r>
    </w:p>
    <w:p w14:paraId="71CA14ED">
      <w:pPr>
        <w:spacing w:line="540" w:lineRule="exact"/>
        <w:jc w:val="center"/>
        <w:rPr>
          <w:rFonts w:hint="default" w:ascii="Times New Roman" w:hAnsi="Times New Roman" w:eastAsia="仿宋_GB2312" w:cs="Times New Roman"/>
          <w:kern w:val="0"/>
          <w:sz w:val="30"/>
          <w:szCs w:val="30"/>
        </w:rPr>
      </w:pPr>
    </w:p>
    <w:p w14:paraId="5F4C9568">
      <w:pPr>
        <w:spacing w:line="540" w:lineRule="exact"/>
        <w:jc w:val="center"/>
        <w:rPr>
          <w:rFonts w:hint="default" w:ascii="Times New Roman" w:hAnsi="Times New Roman" w:eastAsia="仿宋_GB2312" w:cs="Times New Roman"/>
          <w:kern w:val="0"/>
          <w:sz w:val="30"/>
          <w:szCs w:val="30"/>
        </w:rPr>
      </w:pPr>
    </w:p>
    <w:p w14:paraId="5C92F7EB">
      <w:pPr>
        <w:spacing w:line="540" w:lineRule="exact"/>
        <w:jc w:val="center"/>
        <w:rPr>
          <w:rFonts w:hint="default" w:ascii="Times New Roman" w:hAnsi="Times New Roman" w:eastAsia="仿宋_GB2312" w:cs="Times New Roman"/>
          <w:kern w:val="0"/>
          <w:sz w:val="30"/>
          <w:szCs w:val="30"/>
        </w:rPr>
      </w:pPr>
    </w:p>
    <w:p w14:paraId="10669CFA">
      <w:pPr>
        <w:spacing w:line="540" w:lineRule="exact"/>
        <w:jc w:val="both"/>
        <w:rPr>
          <w:rFonts w:hint="default" w:ascii="Times New Roman" w:hAnsi="Times New Roman" w:eastAsia="仿宋_GB2312" w:cs="Times New Roman"/>
          <w:kern w:val="0"/>
          <w:sz w:val="30"/>
          <w:szCs w:val="30"/>
        </w:rPr>
      </w:pPr>
    </w:p>
    <w:p w14:paraId="0984F67B">
      <w:pPr>
        <w:spacing w:line="540" w:lineRule="exact"/>
        <w:rPr>
          <w:rFonts w:hint="default" w:ascii="Times New Roman" w:hAnsi="Times New Roman" w:eastAsia="仿宋_GB2312" w:cs="Times New Roman"/>
          <w:kern w:val="0"/>
          <w:sz w:val="30"/>
          <w:szCs w:val="30"/>
        </w:rPr>
      </w:pPr>
    </w:p>
    <w:p w14:paraId="1735BE96">
      <w:pPr>
        <w:spacing w:line="700" w:lineRule="exact"/>
        <w:ind w:firstLine="1440" w:firstLineChars="400"/>
        <w:jc w:val="left"/>
        <w:rPr>
          <w:rFonts w:hint="default" w:ascii="Times New Roman" w:hAnsi="Times New Roman" w:eastAsia="仿宋_GB2312" w:cs="Times New Roman"/>
          <w:kern w:val="0"/>
          <w:sz w:val="36"/>
          <w:szCs w:val="36"/>
        </w:rPr>
      </w:pPr>
      <w:r>
        <w:rPr>
          <w:rFonts w:hint="default" w:ascii="Times New Roman" w:hAnsi="Times New Roman" w:eastAsia="仿宋_GB2312" w:cs="Times New Roman"/>
          <w:kern w:val="0"/>
          <w:sz w:val="36"/>
          <w:szCs w:val="36"/>
        </w:rPr>
        <w:t>项目名称：</w:t>
      </w:r>
      <w:r>
        <w:rPr>
          <w:rFonts w:hint="eastAsia" w:eastAsia="仿宋_GB2312"/>
          <w:kern w:val="0"/>
          <w:sz w:val="36"/>
          <w:szCs w:val="36"/>
        </w:rPr>
        <w:t>2024年本级追加，达党财纪字〔2024〕1号（21），追加机关工委机关工会联合会经费</w:t>
      </w:r>
    </w:p>
    <w:p w14:paraId="08C179F1">
      <w:pPr>
        <w:spacing w:line="700" w:lineRule="exact"/>
        <w:ind w:firstLine="1440" w:firstLineChars="400"/>
        <w:jc w:val="left"/>
        <w:rPr>
          <w:rFonts w:hint="default" w:ascii="Times New Roman" w:hAnsi="Times New Roman" w:eastAsia="仿宋_GB2312" w:cs="Times New Roman"/>
          <w:kern w:val="0"/>
          <w:sz w:val="36"/>
          <w:szCs w:val="36"/>
        </w:rPr>
      </w:pPr>
      <w:r>
        <w:rPr>
          <w:rFonts w:hint="default" w:ascii="Times New Roman" w:hAnsi="Times New Roman" w:eastAsia="仿宋_GB2312" w:cs="Times New Roman"/>
          <w:kern w:val="0"/>
          <w:sz w:val="36"/>
          <w:szCs w:val="36"/>
        </w:rPr>
        <w:t>实施单位（公章）：</w:t>
      </w:r>
      <w:r>
        <w:rPr>
          <w:rFonts w:hint="eastAsia" w:eastAsia="仿宋_GB2312"/>
          <w:kern w:val="0"/>
          <w:sz w:val="36"/>
          <w:szCs w:val="36"/>
          <w:lang w:val="en-US" w:eastAsia="zh-CN"/>
        </w:rPr>
        <w:t>中共乌鲁木齐市达坂城区委员会直属机关工作委员会</w:t>
      </w:r>
    </w:p>
    <w:p w14:paraId="186DF149">
      <w:pPr>
        <w:spacing w:line="700" w:lineRule="exact"/>
        <w:ind w:firstLine="1440" w:firstLineChars="400"/>
        <w:jc w:val="left"/>
        <w:rPr>
          <w:rFonts w:hint="default" w:ascii="Times New Roman" w:hAnsi="Times New Roman" w:eastAsia="仿宋_GB2312" w:cs="Times New Roman"/>
          <w:kern w:val="0"/>
          <w:sz w:val="36"/>
          <w:szCs w:val="36"/>
        </w:rPr>
      </w:pPr>
      <w:r>
        <w:rPr>
          <w:rFonts w:hint="default" w:ascii="Times New Roman" w:hAnsi="Times New Roman" w:eastAsia="仿宋_GB2312" w:cs="Times New Roman"/>
          <w:kern w:val="0"/>
          <w:sz w:val="36"/>
          <w:szCs w:val="36"/>
        </w:rPr>
        <w:t>主管部门（公章）：</w:t>
      </w:r>
      <w:r>
        <w:rPr>
          <w:rFonts w:hint="eastAsia" w:eastAsia="仿宋_GB2312"/>
          <w:kern w:val="0"/>
          <w:sz w:val="36"/>
          <w:szCs w:val="36"/>
          <w:lang w:val="en-US" w:eastAsia="zh-CN"/>
        </w:rPr>
        <w:t>中共乌鲁木齐市达坂城区委员会直属机关工作委员会</w:t>
      </w:r>
    </w:p>
    <w:p w14:paraId="41843D0F">
      <w:pPr>
        <w:spacing w:line="700" w:lineRule="exact"/>
        <w:ind w:firstLine="1440" w:firstLineChars="400"/>
        <w:jc w:val="left"/>
        <w:rPr>
          <w:rFonts w:hint="default" w:ascii="Times New Roman" w:hAnsi="Times New Roman" w:eastAsia="仿宋_GB2312" w:cs="Times New Roman"/>
          <w:kern w:val="0"/>
          <w:sz w:val="36"/>
          <w:szCs w:val="36"/>
        </w:rPr>
      </w:pPr>
      <w:r>
        <w:rPr>
          <w:rFonts w:hint="default" w:ascii="Times New Roman" w:hAnsi="Times New Roman" w:eastAsia="仿宋_GB2312" w:cs="Times New Roman"/>
          <w:kern w:val="0"/>
          <w:sz w:val="36"/>
          <w:szCs w:val="36"/>
        </w:rPr>
        <w:t>项目负责人（签章）：</w:t>
      </w:r>
      <w:r>
        <w:rPr>
          <w:rFonts w:hint="eastAsia" w:eastAsia="仿宋_GB2312"/>
          <w:kern w:val="0"/>
          <w:sz w:val="36"/>
          <w:szCs w:val="36"/>
          <w:lang w:val="en-US" w:eastAsia="zh-CN"/>
        </w:rPr>
        <w:t>马建琼</w:t>
      </w:r>
    </w:p>
    <w:p w14:paraId="3A0852FC">
      <w:pPr>
        <w:spacing w:line="700" w:lineRule="exact"/>
        <w:ind w:firstLine="1440" w:firstLineChars="400"/>
        <w:jc w:val="left"/>
        <w:rPr>
          <w:rFonts w:hint="default" w:ascii="Times New Roman" w:hAnsi="Times New Roman" w:eastAsia="仿宋_GB2312" w:cs="Times New Roman"/>
          <w:kern w:val="0"/>
          <w:sz w:val="36"/>
          <w:szCs w:val="36"/>
        </w:rPr>
      </w:pPr>
      <w:r>
        <w:rPr>
          <w:rFonts w:hint="default" w:ascii="Times New Roman" w:hAnsi="Times New Roman" w:eastAsia="仿宋_GB2312" w:cs="Times New Roman"/>
          <w:kern w:val="0"/>
          <w:sz w:val="36"/>
          <w:szCs w:val="36"/>
        </w:rPr>
        <w:t>填报时间：</w:t>
      </w:r>
      <w:r>
        <w:rPr>
          <w:rFonts w:hint="eastAsia" w:eastAsia="仿宋_GB2312" w:cs="Times New Roman"/>
          <w:kern w:val="0"/>
          <w:sz w:val="36"/>
          <w:szCs w:val="36"/>
          <w:lang w:val="en-US" w:eastAsia="zh-CN"/>
        </w:rPr>
        <w:t>2025</w:t>
      </w:r>
      <w:r>
        <w:rPr>
          <w:rFonts w:hint="default" w:ascii="Times New Roman" w:hAnsi="Times New Roman" w:eastAsia="仿宋_GB2312" w:cs="Times New Roman"/>
          <w:kern w:val="0"/>
          <w:sz w:val="36"/>
          <w:szCs w:val="36"/>
        </w:rPr>
        <w:t>年</w:t>
      </w:r>
      <w:r>
        <w:rPr>
          <w:rFonts w:hint="eastAsia" w:eastAsia="仿宋_GB2312" w:cs="Times New Roman"/>
          <w:kern w:val="0"/>
          <w:sz w:val="36"/>
          <w:szCs w:val="36"/>
          <w:lang w:val="en-US" w:eastAsia="zh-CN"/>
        </w:rPr>
        <w:t>4</w:t>
      </w:r>
      <w:r>
        <w:rPr>
          <w:rFonts w:hint="default" w:ascii="Times New Roman" w:hAnsi="Times New Roman" w:eastAsia="仿宋_GB2312" w:cs="Times New Roman"/>
          <w:kern w:val="0"/>
          <w:sz w:val="36"/>
          <w:szCs w:val="36"/>
        </w:rPr>
        <w:t>月</w:t>
      </w:r>
      <w:r>
        <w:rPr>
          <w:rFonts w:hint="eastAsia" w:eastAsia="仿宋_GB2312" w:cs="Times New Roman"/>
          <w:kern w:val="0"/>
          <w:sz w:val="36"/>
          <w:szCs w:val="36"/>
          <w:lang w:val="en-US" w:eastAsia="zh-CN"/>
        </w:rPr>
        <w:t>10</w:t>
      </w:r>
      <w:r>
        <w:rPr>
          <w:rFonts w:hint="default" w:ascii="Times New Roman" w:hAnsi="Times New Roman" w:eastAsia="仿宋_GB2312" w:cs="Times New Roman"/>
          <w:kern w:val="0"/>
          <w:sz w:val="36"/>
          <w:szCs w:val="36"/>
        </w:rPr>
        <w:t>日</w:t>
      </w:r>
    </w:p>
    <w:p w14:paraId="7DEC89CA">
      <w:pPr>
        <w:spacing w:line="560" w:lineRule="exact"/>
        <w:ind w:firstLine="640" w:firstLineChars="200"/>
        <w:rPr>
          <w:rFonts w:hint="default" w:ascii="Times New Roman" w:hAnsi="Times New Roman" w:eastAsia="黑体" w:cs="Times New Roman"/>
          <w:bCs/>
          <w:sz w:val="32"/>
          <w:szCs w:val="32"/>
        </w:rPr>
        <w:sectPr>
          <w:pgSz w:w="11906" w:h="16838"/>
          <w:pgMar w:top="1440" w:right="1558" w:bottom="1440" w:left="1800" w:header="851" w:footer="992" w:gutter="0"/>
          <w:cols w:space="425" w:num="1"/>
          <w:docGrid w:type="lines" w:linePitch="312" w:charSpace="0"/>
        </w:sectPr>
      </w:pPr>
    </w:p>
    <w:p w14:paraId="11D7AB76">
      <w:pPr>
        <w:spacing w:line="56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一、基本情况</w:t>
      </w:r>
    </w:p>
    <w:p w14:paraId="6EF74438">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（一）项目概况</w:t>
      </w:r>
    </w:p>
    <w:p w14:paraId="6957D3C5">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项目背景</w:t>
      </w:r>
    </w:p>
    <w:p w14:paraId="3F12E17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val="en-US" w:eastAsia="zh-CN"/>
        </w:rPr>
        <w:t>按照工会工作要求，</w:t>
      </w:r>
      <w:r>
        <w:rPr>
          <w:rFonts w:hint="default" w:ascii="Times New Roman" w:hAnsi="Times New Roman" w:eastAsia="仿宋_GB2312" w:cs="Times New Roman"/>
          <w:color w:val="000000"/>
          <w:sz w:val="32"/>
          <w:szCs w:val="32"/>
          <w:lang w:val="en-US" w:eastAsia="zh-CN"/>
        </w:rPr>
        <w:t>区直属机关工委于</w:t>
      </w:r>
      <w:r>
        <w:rPr>
          <w:rFonts w:hint="default" w:ascii="Times New Roman" w:hAnsi="Times New Roman" w:eastAsia="仿宋_GB2312" w:cs="Times New Roman"/>
          <w:color w:val="auto"/>
          <w:sz w:val="32"/>
          <w:szCs w:val="32"/>
          <w:lang w:val="en-US" w:eastAsia="zh-CN"/>
        </w:rPr>
        <w:t>2021年9月</w:t>
      </w:r>
      <w:r>
        <w:rPr>
          <w:rFonts w:hint="default" w:ascii="Times New Roman" w:hAnsi="Times New Roman" w:eastAsia="仿宋_GB2312" w:cs="Times New Roman"/>
          <w:color w:val="000000"/>
          <w:sz w:val="32"/>
          <w:szCs w:val="32"/>
          <w:lang w:val="en-US" w:eastAsia="zh-CN"/>
        </w:rPr>
        <w:t>24日成立了区机关工会联合会，同时各机关单位成立基层工会委员会29个，</w:t>
      </w:r>
      <w:r>
        <w:rPr>
          <w:rFonts w:hint="default" w:ascii="Times New Roman" w:hAnsi="Times New Roman" w:eastAsia="仿宋_GB2312" w:cs="Times New Roman"/>
          <w:sz w:val="32"/>
          <w:szCs w:val="32"/>
        </w:rPr>
        <w:t>根据</w:t>
      </w:r>
      <w:bookmarkStart w:id="0" w:name="OLE_LINK6"/>
      <w:r>
        <w:rPr>
          <w:rFonts w:hint="default" w:ascii="Times New Roman" w:hAnsi="Times New Roman" w:eastAsia="仿宋_GB2312" w:cs="Times New Roman"/>
          <w:sz w:val="32"/>
          <w:szCs w:val="32"/>
        </w:rPr>
        <w:t>新疆维吾尔自治区</w:t>
      </w:r>
      <w:r>
        <w:rPr>
          <w:rFonts w:hint="default" w:ascii="Times New Roman" w:hAnsi="Times New Roman" w:eastAsia="仿宋_GB2312" w:cs="Times New Roman"/>
          <w:sz w:val="32"/>
          <w:szCs w:val="32"/>
          <w:lang w:val="en-US" w:eastAsia="zh-CN"/>
        </w:rPr>
        <w:t>总工会文件</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关于印发&lt;</w:t>
      </w:r>
      <w:r>
        <w:rPr>
          <w:rFonts w:hint="default" w:ascii="Times New Roman" w:hAnsi="Times New Roman" w:eastAsia="仿宋_GB2312" w:cs="Times New Roman"/>
          <w:sz w:val="32"/>
          <w:szCs w:val="32"/>
        </w:rPr>
        <w:t>新疆维吾尔自治区基层工会经费收支管理办法实施细则</w:t>
      </w:r>
      <w:r>
        <w:rPr>
          <w:rFonts w:hint="default" w:ascii="Times New Roman" w:hAnsi="Times New Roman" w:eastAsia="仿宋_GB2312" w:cs="Times New Roman"/>
          <w:sz w:val="32"/>
          <w:szCs w:val="32"/>
          <w:lang w:val="en-US" w:eastAsia="zh-CN"/>
        </w:rPr>
        <w:t>&gt;</w:t>
      </w:r>
      <w:r>
        <w:rPr>
          <w:rFonts w:hint="default" w:ascii="Times New Roman" w:hAnsi="Times New Roman" w:eastAsia="仿宋_GB2312" w:cs="Times New Roman"/>
          <w:sz w:val="32"/>
          <w:szCs w:val="32"/>
        </w:rPr>
        <w:t>的通知》（新工办</w:t>
      </w: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19</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号）文件</w:t>
      </w:r>
      <w:bookmarkEnd w:id="0"/>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第三章第四条第一款：基层工会</w:t>
      </w:r>
      <w:r>
        <w:rPr>
          <w:rFonts w:hint="default" w:ascii="Times New Roman" w:hAnsi="Times New Roman" w:eastAsia="仿宋_GB2312" w:cs="Times New Roman"/>
          <w:sz w:val="32"/>
          <w:szCs w:val="32"/>
        </w:rPr>
        <w:t>逢年过节可以向全体会员发放全年不超过1500元的节日慰问品。</w:t>
      </w:r>
    </w:p>
    <w:p w14:paraId="6C15D5C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区直属机关工委工会联合会无工会经费，前期经与区财政局协商，2024年</w:t>
      </w:r>
      <w:r>
        <w:rPr>
          <w:rFonts w:hint="default" w:ascii="Times New Roman" w:hAnsi="Times New Roman" w:eastAsia="仿宋_GB2312" w:cs="Times New Roman"/>
          <w:sz w:val="32"/>
          <w:szCs w:val="32"/>
          <w:lang w:eastAsia="zh-CN"/>
        </w:rPr>
        <w:t>正式职工（在编干部）</w:t>
      </w:r>
      <w:r>
        <w:rPr>
          <w:rFonts w:hint="default" w:ascii="Times New Roman" w:hAnsi="Times New Roman" w:eastAsia="仿宋_GB2312" w:cs="Times New Roman"/>
          <w:sz w:val="32"/>
          <w:szCs w:val="32"/>
        </w:rPr>
        <w:t>慰问</w:t>
      </w:r>
      <w:r>
        <w:rPr>
          <w:rFonts w:hint="default" w:ascii="Times New Roman" w:hAnsi="Times New Roman" w:eastAsia="仿宋_GB2312" w:cs="Times New Roman"/>
          <w:sz w:val="32"/>
          <w:szCs w:val="32"/>
          <w:lang w:eastAsia="zh-CN"/>
        </w:rPr>
        <w:t>经费已列入区财政预算，现有</w:t>
      </w:r>
      <w:r>
        <w:rPr>
          <w:rFonts w:hint="default" w:ascii="Times New Roman" w:hAnsi="Times New Roman" w:eastAsia="仿宋_GB2312" w:cs="Times New Roman"/>
          <w:sz w:val="32"/>
          <w:szCs w:val="32"/>
          <w:lang w:val="en-US" w:eastAsia="zh-CN"/>
        </w:rPr>
        <w:t>临聘、志愿者等会员（非在编干部）477名的慰问经费无法列入区财政预算，按每人每年700元标准申请2024年干部职工福利共需经费33.39万元，主要用于发放非在编会员节日慰问品。</w:t>
      </w:r>
    </w:p>
    <w:p w14:paraId="4DA0073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项目主要内容：</w:t>
      </w:r>
    </w:p>
    <w:p w14:paraId="0331D03C">
      <w:pPr>
        <w:spacing w:line="560" w:lineRule="exact"/>
        <w:ind w:firstLine="640" w:firstLineChars="200"/>
        <w:rPr>
          <w:rFonts w:hint="default" w:ascii="Times New Roman" w:hAnsi="Times New Roman" w:eastAsia="仿宋_GB2312" w:cs="Times New Roman"/>
          <w:sz w:val="32"/>
          <w:szCs w:val="32"/>
          <w:highlight w:val="yellow"/>
          <w:lang w:eastAsia="zh-CN"/>
        </w:rPr>
      </w:pPr>
      <w:r>
        <w:rPr>
          <w:rFonts w:hint="default" w:ascii="Times New Roman" w:hAnsi="Times New Roman" w:eastAsia="仿宋_GB2312" w:cs="Times New Roman"/>
          <w:sz w:val="32"/>
          <w:szCs w:val="32"/>
          <w:highlight w:val="none"/>
          <w:lang w:val="en-US" w:eastAsia="zh-CN"/>
        </w:rPr>
        <w:t>项目主要内容：</w:t>
      </w:r>
      <w:bookmarkStart w:id="1" w:name="OLE_LINK14"/>
      <w:r>
        <w:rPr>
          <w:rFonts w:hint="default" w:ascii="Times New Roman" w:hAnsi="Times New Roman" w:eastAsia="仿宋_GB2312" w:cs="Times New Roman"/>
          <w:color w:val="000000"/>
          <w:sz w:val="32"/>
          <w:szCs w:val="32"/>
          <w:lang w:val="en-US" w:eastAsia="zh-CN"/>
        </w:rPr>
        <w:t>临</w:t>
      </w:r>
      <w:r>
        <w:rPr>
          <w:rFonts w:hint="default" w:ascii="Times New Roman" w:hAnsi="Times New Roman" w:eastAsia="仿宋_GB2312" w:cs="Times New Roman"/>
          <w:color w:val="auto"/>
          <w:sz w:val="32"/>
          <w:szCs w:val="32"/>
          <w:lang w:val="en-US" w:eastAsia="zh-CN"/>
        </w:rPr>
        <w:t>聘、志愿者等会员（非在编干部）477名的慰问经费无法列入区财政预算，按每人每年700元标准申请2024年干部职工福利共需经费33.39万元，</w:t>
      </w:r>
      <w:r>
        <w:rPr>
          <w:rFonts w:hint="default" w:ascii="Times New Roman" w:hAnsi="Times New Roman" w:eastAsia="仿宋_GB2312" w:cs="Times New Roman"/>
          <w:color w:val="000000"/>
          <w:sz w:val="32"/>
          <w:szCs w:val="32"/>
          <w:lang w:val="en-US" w:eastAsia="zh-CN"/>
        </w:rPr>
        <w:t>主要用于发放非在编会员节日慰问品。</w:t>
      </w:r>
    </w:p>
    <w:bookmarkEnd w:id="1"/>
    <w:p w14:paraId="7C1613DE">
      <w:pPr>
        <w:spacing w:line="56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项目实施情况：</w:t>
      </w:r>
      <w:bookmarkStart w:id="2" w:name="OLE_LINK15"/>
      <w:r>
        <w:rPr>
          <w:rFonts w:hint="default" w:ascii="Times New Roman" w:hAnsi="Times New Roman" w:eastAsia="仿宋_GB2312" w:cs="Times New Roman"/>
          <w:color w:val="000000"/>
          <w:sz w:val="32"/>
          <w:szCs w:val="32"/>
          <w:lang w:val="en-US" w:eastAsia="zh-CN"/>
        </w:rPr>
        <w:t>项目目前已圆满完成设立时确定的各项实际目标，取得了预期成效。针对临聘人员、志愿者等非在编会员队伍庞大的现状，2024年干部职工福利经费考虑到财政预算未覆盖上述人员的实际困难，现按照每人每年700元的标准，申请共计33.39万元，专项用于为477名非在编会员提供节日慰问品。此举旨在进一步增强团队凝聚力和归属感，体现组织对临聘、志愿者等群体的人文关怀，激发其工作积极性和参与热情。</w:t>
      </w:r>
    </w:p>
    <w:p w14:paraId="21AF26DA">
      <w:pPr>
        <w:spacing w:line="56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在项目实施过程中，始终坚持以目标为导向，科学设定各阶段任务，层层分解目标，确保工作有序推进。项目立项前组织了专家论证和科学评估，对项目流程、内容及成效标准严格把关，确保资源利用合理、措施落实到位。</w:t>
      </w:r>
    </w:p>
    <w:bookmarkEnd w:id="2"/>
    <w:p w14:paraId="5757AB9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3.资金投入和使用情况</w:t>
      </w:r>
    </w:p>
    <w:p w14:paraId="1DDF6C64">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（1）资金投入情况</w:t>
      </w:r>
    </w:p>
    <w:p w14:paraId="22FF155B">
      <w:pPr>
        <w:shd w:val="clear"/>
        <w:spacing w:line="600" w:lineRule="exact"/>
        <w:ind w:firstLine="640" w:firstLineChars="200"/>
        <w:outlineLvl w:val="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此项目经达党财纪字〔2024〕1号（21）文件批准，</w:t>
      </w:r>
      <w:r>
        <w:rPr>
          <w:rFonts w:hint="default" w:ascii="Times New Roman" w:hAnsi="Times New Roman" w:eastAsia="仿宋_GB2312" w:cs="Times New Roman"/>
          <w:sz w:val="32"/>
          <w:szCs w:val="32"/>
          <w:highlight w:val="none"/>
          <w:lang w:val="en-US" w:eastAsia="zh-CN"/>
        </w:rPr>
        <w:t>该项目</w:t>
      </w:r>
      <w:r>
        <w:rPr>
          <w:rFonts w:hint="eastAsia" w:ascii="Times New Roman" w:hAnsi="Times New Roman" w:eastAsia="仿宋_GB2312" w:cs="Times New Roman"/>
          <w:sz w:val="32"/>
          <w:szCs w:val="32"/>
          <w:highlight w:val="none"/>
          <w:lang w:val="en-US" w:eastAsia="zh-CN"/>
        </w:rPr>
        <w:t>为2024年本级资金，</w:t>
      </w:r>
      <w:r>
        <w:rPr>
          <w:rFonts w:hint="default" w:ascii="Times New Roman" w:hAnsi="Times New Roman" w:eastAsia="仿宋_GB2312" w:cs="Times New Roman"/>
          <w:sz w:val="32"/>
          <w:szCs w:val="32"/>
          <w:highlight w:val="none"/>
          <w:lang w:val="en-US" w:eastAsia="zh-CN"/>
        </w:rPr>
        <w:t>年初预算数</w:t>
      </w:r>
      <w:r>
        <w:rPr>
          <w:rFonts w:hint="eastAsia" w:ascii="Times New Roman" w:hAnsi="Times New Roman" w:eastAsia="仿宋_GB2312" w:cs="Times New Roman"/>
          <w:sz w:val="32"/>
          <w:szCs w:val="32"/>
          <w:highlight w:val="none"/>
          <w:lang w:val="en-US" w:eastAsia="zh-CN"/>
        </w:rPr>
        <w:t>33.39</w:t>
      </w:r>
      <w:r>
        <w:rPr>
          <w:rFonts w:hint="default" w:ascii="Times New Roman" w:hAnsi="Times New Roman" w:eastAsia="仿宋_GB2312" w:cs="Times New Roman"/>
          <w:sz w:val="32"/>
          <w:szCs w:val="32"/>
          <w:highlight w:val="none"/>
          <w:lang w:val="en-US" w:eastAsia="zh-CN"/>
        </w:rPr>
        <w:t>万元，全年预算数</w:t>
      </w:r>
      <w:r>
        <w:rPr>
          <w:rFonts w:hint="eastAsia" w:ascii="Times New Roman" w:hAnsi="Times New Roman" w:eastAsia="仿宋_GB2312" w:cs="Times New Roman"/>
          <w:sz w:val="32"/>
          <w:szCs w:val="32"/>
          <w:highlight w:val="none"/>
          <w:lang w:val="en-US" w:eastAsia="zh-CN"/>
        </w:rPr>
        <w:t>33.39</w:t>
      </w:r>
      <w:r>
        <w:rPr>
          <w:rFonts w:hint="default" w:ascii="Times New Roman" w:hAnsi="Times New Roman" w:eastAsia="仿宋_GB2312" w:cs="Times New Roman"/>
          <w:sz w:val="32"/>
          <w:szCs w:val="32"/>
          <w:highlight w:val="none"/>
          <w:lang w:val="en-US" w:eastAsia="zh-CN"/>
        </w:rPr>
        <w:t>万元，</w:t>
      </w:r>
      <w:r>
        <w:rPr>
          <w:rFonts w:hint="eastAsia" w:ascii="Times New Roman" w:hAnsi="Times New Roman" w:eastAsia="仿宋_GB2312" w:cs="Times New Roman"/>
          <w:sz w:val="32"/>
          <w:szCs w:val="32"/>
          <w:highlight w:val="none"/>
          <w:lang w:val="en-US" w:eastAsia="zh-CN"/>
        </w:rPr>
        <w:t>于2024年初部分预算批复项目，</w:t>
      </w:r>
      <w:r>
        <w:rPr>
          <w:rFonts w:hint="default" w:ascii="Times New Roman" w:hAnsi="Times New Roman" w:eastAsia="仿宋_GB2312" w:cs="Times New Roman"/>
          <w:sz w:val="32"/>
          <w:szCs w:val="32"/>
          <w:highlight w:val="none"/>
          <w:lang w:val="en-US" w:eastAsia="zh-CN"/>
        </w:rPr>
        <w:t>该项目资金已全部落实到位</w:t>
      </w:r>
      <w:r>
        <w:rPr>
          <w:rFonts w:hint="eastAsia" w:ascii="Times New Roman" w:hAnsi="Times New Roman" w:eastAsia="仿宋_GB2312" w:cs="Times New Roman"/>
          <w:sz w:val="32"/>
          <w:szCs w:val="32"/>
          <w:highlight w:val="none"/>
          <w:lang w:val="en-US" w:eastAsia="zh-CN"/>
        </w:rPr>
        <w:t>。</w:t>
      </w:r>
    </w:p>
    <w:p w14:paraId="12D9F8BE">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（2）资金使用情况</w:t>
      </w:r>
    </w:p>
    <w:p w14:paraId="35586105">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eastAsia" w:ascii="仿宋_GB2312" w:hAnsi="仿宋_GB2312" w:eastAsia="仿宋_GB2312" w:cs="仿宋_GB2312"/>
          <w:sz w:val="32"/>
          <w:szCs w:val="32"/>
          <w:highlight w:val="none"/>
          <w:lang w:val="en-US" w:eastAsia="zh-CN"/>
        </w:rPr>
        <w:t>该项目年初预算数33.39万元，全年预算数33.39万元，全年执行数33.39万元，预算执行率为100%，主要用于：发放符合要求单位非在编工会会员节日慰问用品，包括春节、国庆等节日指定地点衣食住行购物券的发放。</w:t>
      </w:r>
    </w:p>
    <w:p w14:paraId="3E73C141">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（二）项目绩效目标</w:t>
      </w:r>
    </w:p>
    <w:p w14:paraId="740B56B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sz w:val="32"/>
          <w:szCs w:val="32"/>
        </w:rPr>
        <w:t>总体目标</w:t>
      </w:r>
    </w:p>
    <w:p w14:paraId="1564B186">
      <w:pPr>
        <w:spacing w:line="560" w:lineRule="exact"/>
        <w:ind w:firstLine="640" w:firstLineChars="200"/>
        <w:rPr>
          <w:rFonts w:hint="default" w:ascii="Times New Roman" w:hAnsi="Times New Roman" w:eastAsia="黑体" w:cs="Times New Roman"/>
          <w:b w:val="0"/>
          <w:bCs/>
          <w:lang w:eastAsia="zh-CN"/>
        </w:rPr>
      </w:pPr>
      <w:r>
        <w:rPr>
          <w:rFonts w:hint="eastAsia" w:ascii="仿宋_GB2312" w:hAnsi="仿宋_GB2312" w:eastAsia="仿宋_GB2312" w:cs="仿宋_GB2312"/>
          <w:sz w:val="32"/>
          <w:szCs w:val="32"/>
          <w:highlight w:val="none"/>
          <w:lang w:val="en-US" w:eastAsia="zh-CN"/>
        </w:rPr>
        <w:t>保障区直机关单位2024年477名非在编工会会员福利费。</w:t>
      </w:r>
    </w:p>
    <w:p w14:paraId="416D2A73">
      <w:pPr>
        <w:spacing w:line="560" w:lineRule="exact"/>
        <w:ind w:firstLine="640" w:firstLineChars="200"/>
        <w:rPr>
          <w:rFonts w:hint="default" w:ascii="Times New Roman" w:hAnsi="Times New Roman" w:eastAsia="仿宋_GB2312" w:cs="Times New Roman"/>
          <w:color w:val="FF0000"/>
          <w:sz w:val="30"/>
          <w:szCs w:val="30"/>
          <w:highlight w:val="none"/>
          <w:lang w:val="en-US" w:eastAsia="zh-CN"/>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sz w:val="32"/>
          <w:szCs w:val="32"/>
        </w:rPr>
        <w:t>阶段性目标</w:t>
      </w:r>
    </w:p>
    <w:p w14:paraId="49D417DE">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第一阶段：前期准备</w:t>
      </w:r>
    </w:p>
    <w:p w14:paraId="2E6CE84D">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完成人员范围的梳理和需求初步确认，做好相关政策解读和基础资料收集，为后续工作顺利开展打好基础。</w:t>
      </w:r>
    </w:p>
    <w:p w14:paraId="222F418B">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第二阶段：资金和物资筹备</w:t>
      </w:r>
    </w:p>
    <w:p w14:paraId="48E8C716">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统筹安排相关资金的落实和保障，做好物资采购等各项准备工作，确保各项资源及时到位。</w:t>
      </w:r>
    </w:p>
    <w:p w14:paraId="06FF8593">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第三阶段：发放与总结</w:t>
      </w:r>
    </w:p>
    <w:p w14:paraId="4027B0D5">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有序组织福利的发放工作，保障相关人员能够如期领取。工作结束后开展效果反馈和经验总结，提升今后工作的针对性和实效性。</w:t>
      </w:r>
    </w:p>
    <w:p w14:paraId="57182085">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二、绩效评价工作开展情况</w:t>
      </w:r>
    </w:p>
    <w:p w14:paraId="1ECECC01">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（一）绩效评价目的、对象和范围</w:t>
      </w:r>
    </w:p>
    <w:p w14:paraId="77E9EF72">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lang w:val="en-US" w:eastAsia="zh-CN"/>
        </w:rPr>
      </w:pPr>
      <w:r>
        <w:rPr>
          <w:rFonts w:hint="default" w:ascii="Times New Roman" w:hAnsi="Times New Roman" w:eastAsia="仿宋_GB2312" w:cs="Times New Roman"/>
          <w:b w:val="0"/>
          <w:bCs w:val="0"/>
          <w:highlight w:val="none"/>
          <w:lang w:val="en-US" w:eastAsia="zh-CN"/>
        </w:rPr>
        <w:t>1</w:t>
      </w:r>
      <w:r>
        <w:rPr>
          <w:rFonts w:hint="default" w:ascii="Times New Roman" w:hAnsi="Times New Roman" w:eastAsia="仿宋_GB2312" w:cs="Times New Roman"/>
          <w:b w:val="0"/>
          <w:bCs w:val="0"/>
          <w:color w:val="auto"/>
          <w:highlight w:val="none"/>
          <w:lang w:val="en-US" w:eastAsia="zh-CN"/>
        </w:rPr>
        <w:t>.绩效评价完整性</w:t>
      </w:r>
    </w:p>
    <w:p w14:paraId="4D722279">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19A3A3C1">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在评价指标体系的构建上，充分考虑了项目的性质、目标以及预期成果，选取了具有代表性和可衡量性的关键指标，涵盖了社会效益多个维度，力求全方位反映项目的绩效状况。同时，对于每个指标的评价标准和数据来源均进行了明确说明，确保评价结果的客观性和可追溯性。</w:t>
      </w:r>
    </w:p>
    <w:p w14:paraId="41E232C4">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7EEA2CA0">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51F7E711">
      <w:pPr>
        <w:spacing w:line="560" w:lineRule="exact"/>
        <w:ind w:firstLine="640" w:firstLineChars="200"/>
        <w:rPr>
          <w:rFonts w:hint="default" w:ascii="Times New Roman" w:hAnsi="Times New Roman" w:eastAsia="仿宋_GB2312" w:cs="Times New Roman"/>
          <w:sz w:val="32"/>
          <w:szCs w:val="32"/>
          <w:highlight w:val="green"/>
          <w:lang w:val="en-US" w:eastAsia="zh-CN"/>
        </w:rPr>
      </w:pPr>
      <w:r>
        <w:rPr>
          <w:rFonts w:hint="default" w:ascii="Times New Roman" w:hAnsi="Times New Roman" w:eastAsia="仿宋_GB2312" w:cs="Times New Roman"/>
          <w:color w:val="auto"/>
          <w:sz w:val="32"/>
          <w:szCs w:val="32"/>
          <w:highlight w:val="none"/>
          <w:lang w:val="en-US" w:eastAsia="zh-CN"/>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r>
        <w:rPr>
          <w:rFonts w:hint="default" w:ascii="Times New Roman" w:hAnsi="Times New Roman" w:eastAsia="仿宋_GB2312" w:cs="Times New Roman"/>
          <w:sz w:val="32"/>
          <w:szCs w:val="32"/>
          <w:highlight w:val="none"/>
          <w:lang w:val="en-US" w:eastAsia="zh-CN"/>
        </w:rPr>
        <w:t>。</w:t>
      </w:r>
    </w:p>
    <w:p w14:paraId="0B37F64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绩效评价的目的</w:t>
      </w:r>
    </w:p>
    <w:p w14:paraId="72C15E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（1）评估项目实施效果</w:t>
      </w:r>
    </w:p>
    <w:p w14:paraId="1B068A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通过对项目预算执行情况及各项绩效目标达成程度的系统性分析，全面、客观地评估项目在预定周期内的实施效果，包括社会效益等多维度指标，为项目后续的改进与优化提供科学依据。</w:t>
      </w:r>
    </w:p>
    <w:p w14:paraId="6732F0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（2）提升资源利用效率</w:t>
      </w:r>
    </w:p>
    <w:p w14:paraId="42A7D2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44C61D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（3）强化项目管理责任</w:t>
      </w:r>
    </w:p>
    <w:p w14:paraId="71EB36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2A5677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（4）为决策提供支持</w:t>
      </w:r>
    </w:p>
    <w:p w14:paraId="238A56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3A80EB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（5）促进项目持续改进</w:t>
      </w:r>
    </w:p>
    <w:p w14:paraId="6C3B87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34BA20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仿宋_GB2312" w:cs="Times New Roman"/>
          <w:sz w:val="32"/>
          <w:szCs w:val="32"/>
          <w:highlight w:val="none"/>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7E549AAC">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lang w:val="en-US" w:eastAsia="zh-CN"/>
        </w:rPr>
        <w:t>3</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val="0"/>
          <w:bCs w:val="0"/>
        </w:rPr>
        <w:t>绩效评价的对象</w:t>
      </w:r>
    </w:p>
    <w:p w14:paraId="1EE6202B">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本项目预算绩效评价报告的评价对象是2024年本级追加，达党财纪字〔2024〕1号（21），追加机关工委机关工会联合会经费及其预算执行情况。该项目由</w:t>
      </w:r>
      <w:r>
        <w:rPr>
          <w:rFonts w:hint="eastAsia" w:ascii="Times New Roman" w:hAnsi="Times New Roman" w:eastAsia="仿宋_GB2312" w:cs="Times New Roman"/>
          <w:b w:val="0"/>
          <w:bCs w:val="0"/>
          <w:highlight w:val="none"/>
          <w:lang w:val="en-US" w:eastAsia="zh-CN"/>
        </w:rPr>
        <w:t>中共乌鲁木齐市达坂城区委员会直属机关工作委员会</w:t>
      </w:r>
      <w:r>
        <w:rPr>
          <w:rFonts w:hint="default" w:ascii="Times New Roman" w:hAnsi="Times New Roman" w:eastAsia="仿宋_GB2312" w:cs="Times New Roman"/>
          <w:b w:val="0"/>
          <w:bCs w:val="0"/>
          <w:highlight w:val="none"/>
        </w:rPr>
        <w:t>负责实施，旨在保障区直机关单位2024年477名非在编工会会员福利费。项目预算涵盖从</w:t>
      </w:r>
      <w:bookmarkStart w:id="3" w:name="OLE_LINK3"/>
      <w:r>
        <w:rPr>
          <w:rFonts w:hint="eastAsia" w:ascii="Times New Roman" w:hAnsi="Times New Roman" w:eastAsia="仿宋_GB2312" w:cs="Times New Roman"/>
          <w:b w:val="0"/>
          <w:bCs w:val="0"/>
          <w:highlight w:val="none"/>
          <w:lang w:val="en-US" w:eastAsia="zh-CN"/>
        </w:rPr>
        <w:t>2024年1月1日</w:t>
      </w:r>
      <w:bookmarkEnd w:id="3"/>
      <w:r>
        <w:rPr>
          <w:rFonts w:hint="default" w:ascii="Times New Roman" w:hAnsi="Times New Roman" w:eastAsia="仿宋_GB2312" w:cs="Times New Roman"/>
          <w:b w:val="0"/>
          <w:bCs w:val="0"/>
          <w:highlight w:val="none"/>
        </w:rPr>
        <w:t>至</w:t>
      </w:r>
      <w:r>
        <w:rPr>
          <w:rFonts w:hint="eastAsia" w:ascii="Times New Roman" w:hAnsi="Times New Roman" w:eastAsia="仿宋_GB2312" w:cs="Times New Roman"/>
          <w:b w:val="0"/>
          <w:bCs w:val="0"/>
          <w:highlight w:val="none"/>
          <w:lang w:val="en-US" w:eastAsia="zh-CN"/>
        </w:rPr>
        <w:t>2024年12月31日</w:t>
      </w:r>
      <w:r>
        <w:rPr>
          <w:rFonts w:hint="default" w:ascii="Times New Roman" w:hAnsi="Times New Roman" w:eastAsia="仿宋_GB2312" w:cs="Times New Roman"/>
          <w:b w:val="0"/>
          <w:bCs w:val="0"/>
          <w:highlight w:val="none"/>
        </w:rPr>
        <w:t>的全部资金投入与支出，涉及资金总额为</w:t>
      </w:r>
      <w:r>
        <w:rPr>
          <w:rFonts w:hint="eastAsia" w:ascii="Times New Roman" w:hAnsi="Times New Roman" w:eastAsia="仿宋_GB2312" w:cs="Times New Roman"/>
          <w:b w:val="0"/>
          <w:bCs w:val="0"/>
          <w:highlight w:val="none"/>
          <w:lang w:val="en-US" w:eastAsia="zh-CN"/>
        </w:rPr>
        <w:t>33.39</w:t>
      </w:r>
      <w:r>
        <w:rPr>
          <w:rFonts w:hint="default" w:ascii="Times New Roman" w:hAnsi="Times New Roman" w:eastAsia="仿宋_GB2312" w:cs="Times New Roman"/>
          <w:b w:val="0"/>
          <w:bCs w:val="0"/>
          <w:highlight w:val="none"/>
          <w:lang w:val="en-US" w:eastAsia="zh-CN"/>
        </w:rPr>
        <w:t>万</w:t>
      </w:r>
      <w:r>
        <w:rPr>
          <w:rFonts w:hint="default" w:ascii="Times New Roman" w:hAnsi="Times New Roman" w:eastAsia="仿宋_GB2312" w:cs="Times New Roman"/>
          <w:b w:val="0"/>
          <w:bCs w:val="0"/>
          <w:highlight w:val="none"/>
        </w:rPr>
        <w:t>元。</w:t>
      </w:r>
    </w:p>
    <w:p w14:paraId="7180492E">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lang w:val="en-US" w:eastAsia="zh-CN"/>
        </w:rPr>
        <w:t>4.</w:t>
      </w:r>
      <w:r>
        <w:rPr>
          <w:rFonts w:hint="default" w:ascii="Times New Roman" w:hAnsi="Times New Roman" w:eastAsia="仿宋_GB2312" w:cs="Times New Roman"/>
          <w:b w:val="0"/>
          <w:bCs w:val="0"/>
          <w:highlight w:val="none"/>
        </w:rPr>
        <w:t>绩效评价的范围</w:t>
      </w:r>
    </w:p>
    <w:p w14:paraId="20B9AA69">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本项目预算绩效评价报告的评价范围广泛而全面，涵盖了从项目立项至评价时点期间的所有关键预算活动和财务流程。具体而言，评价范围包括但不限于以下几个方面：</w:t>
      </w:r>
    </w:p>
    <w:p w14:paraId="542F9DAC">
      <w:pPr>
        <w:pStyle w:val="10"/>
        <w:widowControl w:val="0"/>
        <w:numPr>
          <w:ilvl w:val="0"/>
          <w:numId w:val="1"/>
        </w:numPr>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项目预算编制与执行：全面审视项目预算的编制依据、合理性、科学性以及实际执行情况，包括预算调整的原因和效果。</w:t>
      </w:r>
    </w:p>
    <w:p w14:paraId="19CEA024">
      <w:pPr>
        <w:pStyle w:val="10"/>
        <w:widowControl w:val="0"/>
        <w:numPr>
          <w:ilvl w:val="0"/>
          <w:numId w:val="1"/>
        </w:numPr>
        <w:spacing w:before="0" w:after="0" w:line="560" w:lineRule="exact"/>
        <w:ind w:firstLine="640" w:firstLineChars="200"/>
        <w:jc w:val="both"/>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rPr>
        <w:t>资金管理：深入分析项目资金的分配、使用和监管情况，确保资金使用的合规性、高效性和透明度。</w:t>
      </w:r>
    </w:p>
    <w:p w14:paraId="5BD68DA2">
      <w:pPr>
        <w:pStyle w:val="10"/>
        <w:widowControl w:val="0"/>
        <w:numPr>
          <w:ilvl w:val="0"/>
          <w:numId w:val="1"/>
        </w:numPr>
        <w:spacing w:before="0" w:after="0" w:line="560" w:lineRule="exact"/>
        <w:ind w:firstLine="640" w:firstLineChars="200"/>
        <w:jc w:val="both"/>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rPr>
        <w:t>项目实施进度与产出：评估项目是否按照既定计划顺利推进，各项任务是否按时完成，以及项目产出的数量、质量和时效性是否符合预期。</w:t>
      </w:r>
    </w:p>
    <w:p w14:paraId="0C5254B8">
      <w:pPr>
        <w:pStyle w:val="10"/>
        <w:widowControl w:val="0"/>
        <w:numPr>
          <w:ilvl w:val="0"/>
          <w:numId w:val="1"/>
        </w:numPr>
        <w:spacing w:before="0" w:after="0" w:line="560" w:lineRule="exact"/>
        <w:ind w:firstLine="640" w:firstLineChars="200"/>
        <w:jc w:val="both"/>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rPr>
        <w:t>社会影响：考察项目对社会等方面的综合影响</w:t>
      </w:r>
      <w:r>
        <w:rPr>
          <w:rFonts w:hint="eastAsia" w:ascii="Times New Roman" w:hAnsi="Times New Roman" w:eastAsia="仿宋_GB2312" w:cs="Times New Roman"/>
          <w:b w:val="0"/>
          <w:bCs w:val="0"/>
          <w:highlight w:val="none"/>
          <w:lang w:eastAsia="zh-CN"/>
        </w:rPr>
        <w:t>。</w:t>
      </w:r>
    </w:p>
    <w:p w14:paraId="2E2B6736">
      <w:pPr>
        <w:spacing w:line="560" w:lineRule="exact"/>
        <w:ind w:firstLine="643" w:firstLineChars="200"/>
        <w:rPr>
          <w:rFonts w:hint="default" w:ascii="Times New Roman" w:hAnsi="Times New Roman" w:cs="Times New Roman"/>
        </w:rPr>
      </w:pPr>
      <w:r>
        <w:rPr>
          <w:rFonts w:hint="default" w:ascii="Times New Roman" w:hAnsi="Times New Roman" w:eastAsia="楷体_GB2312" w:cs="Times New Roman"/>
          <w:b/>
          <w:bCs/>
          <w:sz w:val="32"/>
          <w:szCs w:val="32"/>
        </w:rPr>
        <w:t>（二）绩效评价原则、评价指标体系（详情见表1）、评价方法、评价标准。</w:t>
      </w:r>
    </w:p>
    <w:p w14:paraId="37386BE2">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val="0"/>
          <w:bCs w:val="0"/>
        </w:rPr>
        <w:t>绩效评价原则</w:t>
      </w:r>
    </w:p>
    <w:p w14:paraId="7C33AABE">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本次项目绩效评价遵循以下基本原则：</w:t>
      </w:r>
    </w:p>
    <w:p w14:paraId="2863928F">
      <w:pPr>
        <w:pStyle w:val="1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（1）科学公正。绩效评价应当运用科学合理的方法，按照规范的程序，对项目绩效进行客观、公正的反映。</w:t>
      </w:r>
    </w:p>
    <w:p w14:paraId="4302914B">
      <w:pPr>
        <w:pStyle w:val="1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（2）统筹兼顾。单位自评、部门评价和财政评价应职责明确，各有侧重，相互衔接。单位自评应由项目单位自主实施，即“谁支出、谁自评”。部门评价和财政评价应在单位自评的基础上开展。</w:t>
      </w:r>
    </w:p>
    <w:p w14:paraId="2FF693F8">
      <w:pPr>
        <w:pStyle w:val="1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（3）激励约束。绩效评价结果应与预算安排、政策调整、改进管理实质性挂钩，体现奖优罚劣和激励相容导向，有效要安排、低效要压减、无效要问责。</w:t>
      </w:r>
    </w:p>
    <w:p w14:paraId="4BBDF419">
      <w:pPr>
        <w:pStyle w:val="1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（4）公开透明。绩效评价结果应依法依规公开，并自觉接受社会监督。</w:t>
      </w:r>
    </w:p>
    <w:p w14:paraId="1F31DFF6">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2</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val="0"/>
          <w:bCs w:val="0"/>
        </w:rPr>
        <w:t>评价指标体系</w:t>
      </w:r>
    </w:p>
    <w:p w14:paraId="168266D6">
      <w:pPr>
        <w:spacing w:line="560" w:lineRule="exact"/>
        <w:ind w:firstLine="708" w:firstLineChars="200"/>
        <w:rPr>
          <w:rFonts w:hint="default" w:ascii="Times New Roman" w:hAnsi="Times New Roman" w:cs="Times New Roman"/>
          <w:color w:val="000000"/>
          <w:spacing w:val="17"/>
          <w:sz w:val="32"/>
          <w:szCs w:val="32"/>
        </w:rPr>
      </w:pPr>
      <w:r>
        <w:rPr>
          <w:rFonts w:hint="default" w:ascii="Times New Roman" w:hAnsi="Times New Roman" w:eastAsia="仿宋_GB2312" w:cs="Times New Roman"/>
          <w:color w:val="000000"/>
          <w:spacing w:val="17"/>
          <w:sz w:val="32"/>
          <w:szCs w:val="32"/>
        </w:rPr>
        <w:t>绩效评价框架是开展绩效评价的核心。绩效评价框架包括评价准则、关键评价问题、评价指标、数据来源、数据收集方法等。指标体系建立过程如下：</w:t>
      </w:r>
    </w:p>
    <w:p w14:paraId="66E1FE79">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（1）确定评价指标</w:t>
      </w:r>
    </w:p>
    <w:p w14:paraId="24AE2F49">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7962F7AC">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（2）确定权重</w:t>
      </w:r>
    </w:p>
    <w:p w14:paraId="7D08D3A7">
      <w:pPr>
        <w:spacing w:line="560" w:lineRule="exact"/>
        <w:ind w:firstLine="708" w:firstLineChars="200"/>
        <w:rPr>
          <w:rFonts w:hint="default" w:ascii="Times New Roman" w:hAnsi="Times New Roman" w:eastAsia="仿宋_GB2312" w:cs="Times New Roman"/>
          <w:color w:val="FF0000"/>
          <w:spacing w:val="17"/>
          <w:sz w:val="32"/>
          <w:szCs w:val="32"/>
          <w:lang w:eastAsia="zh-CN"/>
        </w:rPr>
      </w:pPr>
      <w:r>
        <w:rPr>
          <w:rFonts w:hint="default" w:ascii="Times New Roman" w:hAnsi="Times New Roman" w:eastAsia="仿宋_GB2312" w:cs="Times New Roman"/>
          <w:color w:val="000000"/>
          <w:spacing w:val="17"/>
          <w:sz w:val="32"/>
          <w:szCs w:val="32"/>
        </w:rPr>
        <w:t>确定各个指标相对于项目总体绩效的权重分值。在绩效评价指标体系中，项目决策权重为20分，项目过程权重为20分，项目产出权重为40分，项目效益权重为20分。</w:t>
      </w:r>
    </w:p>
    <w:p w14:paraId="6F72239F">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（3）确定指标标准值</w:t>
      </w:r>
    </w:p>
    <w:p w14:paraId="4D2FE5A3">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指标标准值是绩效评价指标的尺度，既要反映同类项目的先进水平，又要符合项目的实际绩效水平。具体采用计划标准等确定此次绩效评价指标标准值。</w:t>
      </w:r>
    </w:p>
    <w:p w14:paraId="591FCE75">
      <w:pPr>
        <w:pStyle w:val="10"/>
        <w:spacing w:before="0" w:after="0" w:line="560" w:lineRule="exact"/>
        <w:ind w:firstLine="708" w:firstLineChars="200"/>
        <w:jc w:val="both"/>
        <w:rPr>
          <w:rFonts w:hint="default" w:ascii="Times New Roman" w:hAnsi="Times New Roman" w:eastAsia="仿宋_GB2312" w:cs="Times New Roman"/>
          <w:b w:val="0"/>
          <w:bCs w:val="0"/>
          <w:color w:val="000000"/>
          <w:spacing w:val="17"/>
          <w:kern w:val="2"/>
        </w:rPr>
      </w:pPr>
      <w:r>
        <w:rPr>
          <w:rFonts w:hint="default" w:ascii="Times New Roman" w:hAnsi="Times New Roman" w:eastAsia="仿宋_GB2312" w:cs="Times New Roman"/>
          <w:b w:val="0"/>
          <w:bCs w:val="0"/>
          <w:color w:val="000000"/>
          <w:spacing w:val="17"/>
          <w:kern w:val="2"/>
        </w:rPr>
        <w:t>绩效评价总分值100分，根据综合评分结果，90（含）-100分为优、80（含）-90分为良、60（含）-80分为中、60分以下为差。</w:t>
      </w:r>
    </w:p>
    <w:p w14:paraId="282A1210">
      <w:pPr>
        <w:pStyle w:val="10"/>
        <w:widowControl w:val="0"/>
        <w:spacing w:before="0" w:after="0" w:line="560" w:lineRule="exact"/>
        <w:ind w:firstLine="708" w:firstLineChars="200"/>
        <w:jc w:val="both"/>
        <w:outlineLvl w:val="9"/>
        <w:rPr>
          <w:rFonts w:hint="default" w:ascii="Times New Roman" w:hAnsi="Times New Roman" w:eastAsia="仿宋_GB2312" w:cs="Times New Roman"/>
          <w:b w:val="0"/>
          <w:bCs w:val="0"/>
          <w:color w:val="000000"/>
          <w:spacing w:val="17"/>
        </w:rPr>
      </w:pPr>
      <w:r>
        <w:rPr>
          <w:rFonts w:hint="default" w:ascii="Times New Roman" w:hAnsi="Times New Roman" w:eastAsia="仿宋_GB2312" w:cs="Times New Roman"/>
          <w:b w:val="0"/>
          <w:bCs w:val="0"/>
          <w:color w:val="000000"/>
          <w:spacing w:val="17"/>
        </w:rPr>
        <w:t>具体评价指标体系详情见附件1</w:t>
      </w:r>
    </w:p>
    <w:p w14:paraId="09597A72">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3</w:t>
      </w:r>
      <w:r>
        <w:rPr>
          <w:rFonts w:hint="default" w:ascii="Times New Roman" w:hAnsi="Times New Roman" w:eastAsia="仿宋_GB2312" w:cs="Times New Roman"/>
          <w:b w:val="0"/>
          <w:bCs w:val="0"/>
          <w:lang w:val="en-US" w:eastAsia="zh-CN"/>
        </w:rPr>
        <w:t>.</w:t>
      </w:r>
      <w:r>
        <w:rPr>
          <w:rFonts w:hint="default" w:ascii="Times New Roman" w:hAnsi="Times New Roman" w:eastAsia="仿宋_GB2312" w:cs="Times New Roman"/>
          <w:b w:val="0"/>
          <w:bCs w:val="0"/>
        </w:rPr>
        <w:t>绩效评价方法</w:t>
      </w:r>
    </w:p>
    <w:p w14:paraId="59606D1F">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绩效评价从项目决策、项目过程、项目产出、项目效益四个维度进行评价。评价对象为项目目标实施情况，评价核心为资金的支出完成情况和项目的产出效益。</w:t>
      </w:r>
    </w:p>
    <w:p w14:paraId="511AAEAB">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本次评价指标中，既有定性指标又有定量指标，各类指标因考核内容不同和客观标准不同存在较大差异，因此核定具体指标时采用了不同方法，具体评价方法如下：</w:t>
      </w:r>
    </w:p>
    <w:p w14:paraId="1EDED9AF">
      <w:p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w:t>
      </w:r>
      <w:r>
        <w:rPr>
          <w:rFonts w:hint="eastAsia" w:eastAsia="仿宋_GB2312" w:cs="Times New Roman"/>
          <w:color w:val="000000"/>
          <w:spacing w:val="17"/>
          <w:sz w:val="32"/>
          <w:szCs w:val="32"/>
          <w:highlight w:val="none"/>
          <w:lang w:val="en-US" w:eastAsia="zh-CN"/>
        </w:rPr>
        <w:t>一</w:t>
      </w:r>
      <w:r>
        <w:rPr>
          <w:rFonts w:hint="default" w:ascii="Times New Roman" w:hAnsi="Times New Roman" w:eastAsia="仿宋_GB2312" w:cs="Times New Roman"/>
          <w:color w:val="000000"/>
          <w:spacing w:val="17"/>
          <w:sz w:val="32"/>
          <w:szCs w:val="32"/>
          <w:highlight w:val="none"/>
        </w:rPr>
        <w:t>）比较法。是指将实施情况与绩效目标、历史情况、不同部门和地区同类支出情况进行比较的方法。</w:t>
      </w:r>
    </w:p>
    <w:p w14:paraId="2787CD40">
      <w:p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w:t>
      </w:r>
      <w:r>
        <w:rPr>
          <w:rFonts w:hint="eastAsia" w:eastAsia="仿宋_GB2312" w:cs="Times New Roman"/>
          <w:color w:val="000000"/>
          <w:spacing w:val="17"/>
          <w:sz w:val="32"/>
          <w:szCs w:val="32"/>
          <w:highlight w:val="none"/>
          <w:lang w:val="en-US" w:eastAsia="zh-CN"/>
        </w:rPr>
        <w:t>二</w:t>
      </w:r>
      <w:r>
        <w:rPr>
          <w:rFonts w:hint="default" w:ascii="Times New Roman" w:hAnsi="Times New Roman" w:eastAsia="仿宋_GB2312" w:cs="Times New Roman"/>
          <w:color w:val="000000"/>
          <w:spacing w:val="17"/>
          <w:sz w:val="32"/>
          <w:szCs w:val="32"/>
          <w:highlight w:val="none"/>
        </w:rPr>
        <w:t>）因素分析法。是指综合分析影响绩效目标实现、实施效果的内外部因素的方法。</w:t>
      </w:r>
    </w:p>
    <w:p w14:paraId="25462E12">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4</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val="0"/>
          <w:bCs w:val="0"/>
        </w:rPr>
        <w:t>评价标准</w:t>
      </w:r>
    </w:p>
    <w:p w14:paraId="325EC261">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lang w:eastAsia="zh-CN"/>
        </w:rPr>
      </w:pPr>
      <w:r>
        <w:rPr>
          <w:rFonts w:hint="default" w:ascii="Times New Roman" w:hAnsi="Times New Roman" w:eastAsia="仿宋_GB2312" w:cs="Times New Roman"/>
          <w:b w:val="0"/>
          <w:bCs w:val="0"/>
        </w:rPr>
        <w:t>绩效评价标准通常包括计划标准、行业标准、历史标准等，用于对绩效指标完成情况进行比较、分析、评价。本次评价主要采用了</w:t>
      </w:r>
      <w:r>
        <w:rPr>
          <w:rFonts w:hint="eastAsia" w:ascii="Times New Roman" w:hAnsi="Times New Roman" w:eastAsia="仿宋_GB2312" w:cs="Times New Roman"/>
          <w:b w:val="0"/>
          <w:bCs w:val="0"/>
          <w:lang w:val="en-US" w:eastAsia="zh-CN"/>
        </w:rPr>
        <w:t>计划标准、</w:t>
      </w:r>
      <w:r>
        <w:rPr>
          <w:rFonts w:hint="default" w:ascii="Times New Roman" w:hAnsi="Times New Roman" w:eastAsia="仿宋_GB2312" w:cs="Times New Roman"/>
          <w:b w:val="0"/>
          <w:bCs w:val="0"/>
        </w:rPr>
        <w:t>历史标准。</w:t>
      </w:r>
    </w:p>
    <w:p w14:paraId="7ECEB73E">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lang w:eastAsia="zh-CN"/>
        </w:rPr>
        <w:t>（</w:t>
      </w:r>
      <w:r>
        <w:rPr>
          <w:rFonts w:hint="default" w:ascii="Times New Roman" w:hAnsi="Times New Roman" w:eastAsia="仿宋_GB2312" w:cs="Times New Roman"/>
          <w:b w:val="0"/>
          <w:bCs w:val="0"/>
          <w:lang w:val="en-US" w:eastAsia="zh-CN"/>
        </w:rPr>
        <w:t>1</w:t>
      </w:r>
      <w:r>
        <w:rPr>
          <w:rFonts w:hint="default" w:ascii="Times New Roman" w:hAnsi="Times New Roman" w:eastAsia="仿宋_GB2312" w:cs="Times New Roman"/>
          <w:b w:val="0"/>
          <w:bCs w:val="0"/>
          <w:lang w:eastAsia="zh-CN"/>
        </w:rPr>
        <w:t>）</w:t>
      </w:r>
      <w:r>
        <w:rPr>
          <w:rFonts w:hint="default" w:ascii="Times New Roman" w:hAnsi="Times New Roman" w:eastAsia="仿宋_GB2312" w:cs="Times New Roman"/>
          <w:b w:val="0"/>
          <w:bCs w:val="0"/>
        </w:rPr>
        <w:t>计划标准。指以预先制定的目标、计划、预算、定额等作为评价标准。</w:t>
      </w:r>
    </w:p>
    <w:p w14:paraId="25135AED">
      <w:pPr>
        <w:pStyle w:val="10"/>
        <w:widowControl w:val="0"/>
        <w:spacing w:before="0" w:after="0" w:line="560" w:lineRule="exact"/>
        <w:ind w:firstLine="640" w:firstLineChars="200"/>
        <w:jc w:val="both"/>
        <w:outlineLvl w:val="9"/>
        <w:rPr>
          <w:rFonts w:hint="eastAsia" w:ascii="Times New Roman" w:hAnsi="Times New Roman" w:eastAsia="仿宋_GB2312" w:cs="Times New Roman"/>
          <w:b w:val="0"/>
          <w:bCs w:val="0"/>
          <w:lang w:eastAsia="zh-CN"/>
        </w:rPr>
      </w:pPr>
      <w:r>
        <w:rPr>
          <w:rFonts w:hint="default" w:ascii="Times New Roman" w:hAnsi="Times New Roman" w:eastAsia="仿宋_GB2312" w:cs="Times New Roman"/>
          <w:b w:val="0"/>
          <w:bCs w:val="0"/>
          <w:lang w:eastAsia="zh-CN"/>
        </w:rPr>
        <w:t>（</w:t>
      </w:r>
      <w:r>
        <w:rPr>
          <w:rFonts w:hint="default" w:ascii="Times New Roman" w:hAnsi="Times New Roman" w:eastAsia="仿宋_GB2312" w:cs="Times New Roman"/>
          <w:b w:val="0"/>
          <w:bCs w:val="0"/>
          <w:lang w:val="en-US" w:eastAsia="zh-CN"/>
        </w:rPr>
        <w:t>2</w:t>
      </w:r>
      <w:r>
        <w:rPr>
          <w:rFonts w:hint="default" w:ascii="Times New Roman" w:hAnsi="Times New Roman" w:eastAsia="仿宋_GB2312" w:cs="Times New Roman"/>
          <w:b w:val="0"/>
          <w:bCs w:val="0"/>
          <w:lang w:eastAsia="zh-CN"/>
        </w:rPr>
        <w:t>）</w:t>
      </w:r>
      <w:bookmarkStart w:id="4" w:name="OLE_LINK2"/>
      <w:r>
        <w:rPr>
          <w:rFonts w:hint="default" w:ascii="Times New Roman" w:hAnsi="Times New Roman" w:eastAsia="仿宋_GB2312" w:cs="Times New Roman"/>
          <w:b w:val="0"/>
          <w:bCs w:val="0"/>
        </w:rPr>
        <w:t>历史标准</w:t>
      </w:r>
      <w:bookmarkEnd w:id="4"/>
      <w:r>
        <w:rPr>
          <w:rFonts w:hint="default" w:ascii="Times New Roman" w:hAnsi="Times New Roman" w:eastAsia="仿宋_GB2312" w:cs="Times New Roman"/>
          <w:b w:val="0"/>
          <w:bCs w:val="0"/>
        </w:rPr>
        <w:t>。指参照历史数据制定的评价标准，为体现绩效改进的原则，在可实现的条件下应当确定相对较高的评价标准。</w:t>
      </w:r>
    </w:p>
    <w:p w14:paraId="3CA02E69">
      <w:pPr>
        <w:pStyle w:val="10"/>
        <w:numPr>
          <w:ilvl w:val="0"/>
          <w:numId w:val="2"/>
        </w:numPr>
        <w:spacing w:before="0" w:after="0" w:line="560" w:lineRule="exact"/>
        <w:ind w:firstLine="711" w:firstLineChars="200"/>
        <w:jc w:val="both"/>
        <w:rPr>
          <w:rFonts w:hint="default" w:ascii="Times New Roman" w:hAnsi="Times New Roman" w:eastAsia="楷体" w:cs="Times New Roman"/>
          <w:color w:val="000000"/>
          <w:spacing w:val="17"/>
        </w:rPr>
      </w:pPr>
      <w:r>
        <w:rPr>
          <w:rFonts w:hint="default" w:ascii="Times New Roman" w:hAnsi="Times New Roman" w:eastAsia="楷体" w:cs="Times New Roman"/>
          <w:color w:val="000000"/>
          <w:spacing w:val="17"/>
        </w:rPr>
        <w:t>绩效评价工作过程</w:t>
      </w:r>
    </w:p>
    <w:p w14:paraId="373AC5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前期准备与规划</w:t>
      </w:r>
    </w:p>
    <w:p w14:paraId="60F1A4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在项目绩效评价工作启动之初，成立了专门的评价工作小组，小组成员由</w:t>
      </w:r>
      <w:r>
        <w:rPr>
          <w:rFonts w:hint="eastAsia" w:eastAsia="仿宋_GB2312" w:cs="Times New Roman"/>
          <w:sz w:val="32"/>
          <w:szCs w:val="32"/>
          <w:highlight w:val="none"/>
          <w:lang w:val="en-US" w:eastAsia="zh-CN"/>
        </w:rPr>
        <w:t>财务人员</w:t>
      </w:r>
      <w:r>
        <w:rPr>
          <w:rFonts w:hint="default" w:ascii="Times New Roman" w:hAnsi="Times New Roman" w:eastAsia="仿宋_GB2312" w:cs="Times New Roman"/>
          <w:sz w:val="32"/>
          <w:szCs w:val="32"/>
          <w:highlight w:val="none"/>
        </w:rPr>
        <w:t>、项目管理</w:t>
      </w:r>
      <w:r>
        <w:rPr>
          <w:rFonts w:hint="eastAsia" w:eastAsia="仿宋_GB2312" w:cs="Times New Roman"/>
          <w:sz w:val="32"/>
          <w:szCs w:val="32"/>
          <w:highlight w:val="none"/>
          <w:lang w:val="en-US" w:eastAsia="zh-CN"/>
        </w:rPr>
        <w:t>负责</w:t>
      </w:r>
      <w:r>
        <w:rPr>
          <w:rFonts w:hint="default" w:ascii="Times New Roman" w:hAnsi="Times New Roman" w:eastAsia="仿宋_GB2312" w:cs="Times New Roman"/>
          <w:sz w:val="32"/>
          <w:szCs w:val="32"/>
          <w:highlight w:val="none"/>
        </w:rPr>
        <w:t>人员及相关</w:t>
      </w:r>
      <w:r>
        <w:rPr>
          <w:rFonts w:hint="eastAsia" w:eastAsia="仿宋_GB2312" w:cs="Times New Roman"/>
          <w:sz w:val="32"/>
          <w:szCs w:val="32"/>
          <w:highlight w:val="none"/>
          <w:lang w:val="en-US" w:eastAsia="zh-CN"/>
        </w:rPr>
        <w:t>业务</w:t>
      </w:r>
      <w:r>
        <w:rPr>
          <w:rFonts w:hint="default" w:ascii="Times New Roman" w:hAnsi="Times New Roman" w:eastAsia="仿宋_GB2312" w:cs="Times New Roman"/>
          <w:sz w:val="32"/>
          <w:szCs w:val="32"/>
          <w:highlight w:val="none"/>
        </w:rPr>
        <w:t>骨干组成，确保从多角度、全方位对项目绩效进行评价。同时，明确了评价工作的目标、范围、重点及时间安排，制定了详细的工作计划，为评价工作的顺利开展奠定了坚实基础。</w:t>
      </w:r>
    </w:p>
    <w:p w14:paraId="6B4F63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）指标体系构建</w:t>
      </w:r>
    </w:p>
    <w:p w14:paraId="0AC51A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依据项目的性质、目标以及预期成果，构建了科学合理的绩效评价指标体系。该指标体系涵盖了</w:t>
      </w:r>
      <w:r>
        <w:rPr>
          <w:rFonts w:hint="default" w:ascii="Times New Roman" w:hAnsi="Times New Roman" w:eastAsia="仿宋_GB2312" w:cs="Times New Roman"/>
          <w:color w:val="000000"/>
          <w:spacing w:val="17"/>
          <w:sz w:val="32"/>
          <w:szCs w:val="32"/>
          <w:highlight w:val="none"/>
        </w:rPr>
        <w:t>项目决策、项目过程、项目产出、项目效益四个维度</w:t>
      </w:r>
      <w:r>
        <w:rPr>
          <w:rFonts w:hint="default" w:ascii="Times New Roman" w:hAnsi="Times New Roman" w:eastAsia="仿宋_GB2312" w:cs="Times New Roman"/>
          <w:sz w:val="32"/>
          <w:szCs w:val="32"/>
          <w:highlight w:val="none"/>
          <w:lang w:eastAsia="zh-CN"/>
        </w:rPr>
        <w:t>，选取了具有代表性和可衡量性的关键指标，并为每个指标设定了明确的评价标准与权重，确保评价结果能够全面、准确地反映项目的绩效状况。</w:t>
      </w:r>
    </w:p>
    <w:p w14:paraId="731494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）数据收集与整理</w:t>
      </w:r>
    </w:p>
    <w:p w14:paraId="1BBC13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广泛收集与项目相关的各类数据，包括财务报表、项目文档、业务数据等。在数据收集过程中，注重数据的质量与完整性，对缺失或异常的数据进行了合理的处理和补充。随后，对收集到的数据进行了系统的整理与分类，为后续的数据分析提供了有力支持。</w:t>
      </w:r>
    </w:p>
    <w:p w14:paraId="573069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）数据分析与评估</w:t>
      </w:r>
    </w:p>
    <w:p w14:paraId="5C7415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007C39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）报告撰写与反馈</w:t>
      </w:r>
    </w:p>
    <w:p w14:paraId="55C554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07F364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）后续跟踪与改进</w:t>
      </w:r>
    </w:p>
    <w:p w14:paraId="37B2EC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63CB786A">
      <w:pPr>
        <w:numPr>
          <w:ilvl w:val="0"/>
          <w:numId w:val="3"/>
        </w:num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综合评价情况及评价结论（附相关评分表）</w:t>
      </w:r>
    </w:p>
    <w:p w14:paraId="5DB76FD9">
      <w:pPr>
        <w:pStyle w:val="10"/>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一</w:t>
      </w: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评价情况</w:t>
      </w:r>
    </w:p>
    <w:p w14:paraId="52F5B30F">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本项目的综合评价基于对项目各方面绩效的深入分析与评估。从项目目标的达成情况来看，</w:t>
      </w:r>
      <w:bookmarkStart w:id="5" w:name="OLE_LINK5"/>
      <w:r>
        <w:rPr>
          <w:rFonts w:hint="default" w:ascii="Times New Roman" w:hAnsi="Times New Roman" w:eastAsia="仿宋_GB2312" w:cs="Times New Roman"/>
          <w:color w:val="auto"/>
          <w:sz w:val="32"/>
          <w:szCs w:val="32"/>
          <w:highlight w:val="none"/>
        </w:rPr>
        <w:t>2024年本级追加，达党财纪字〔2024〕1号（21），追加机关工委机关工会联合会经费</w:t>
      </w:r>
      <w:bookmarkEnd w:id="5"/>
      <w:r>
        <w:rPr>
          <w:rFonts w:hint="default" w:ascii="Times New Roman" w:hAnsi="Times New Roman" w:eastAsia="仿宋_GB2312" w:cs="Times New Roman"/>
          <w:sz w:val="32"/>
          <w:szCs w:val="32"/>
          <w:highlight w:val="none"/>
        </w:rPr>
        <w:t>在保障区直机关单位2024年477名非在编工会会员福利费。等方面表现出色，达到了预期的标准与要求。</w:t>
      </w:r>
    </w:p>
    <w:p w14:paraId="08501772">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在项目管理方面，</w:t>
      </w:r>
      <w:r>
        <w:rPr>
          <w:rFonts w:hint="eastAsia" w:eastAsia="仿宋_GB2312" w:cs="Times New Roman"/>
          <w:sz w:val="32"/>
          <w:szCs w:val="32"/>
          <w:highlight w:val="none"/>
          <w:lang w:val="en-US" w:eastAsia="zh-CN"/>
        </w:rPr>
        <w:t>中共乌鲁木齐市达坂城区委员会直属机关工作委员会</w:t>
      </w:r>
      <w:r>
        <w:rPr>
          <w:rFonts w:hint="default" w:ascii="Times New Roman" w:hAnsi="Times New Roman" w:eastAsia="仿宋_GB2312" w:cs="Times New Roman"/>
          <w:sz w:val="32"/>
          <w:szCs w:val="32"/>
          <w:highlight w:val="none"/>
        </w:rPr>
        <w:t>通过有效的规划、组织与协调，项目得以顺利实施，并在预算与时间上保持了良好的控制。</w:t>
      </w:r>
    </w:p>
    <w:p w14:paraId="5E8A12D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从项目效益的角度来看，本项目不仅实现了预期的</w:t>
      </w:r>
      <w:bookmarkStart w:id="6" w:name="OLE_LINK4"/>
      <w:r>
        <w:rPr>
          <w:rFonts w:hint="default" w:ascii="Times New Roman" w:hAnsi="Times New Roman" w:eastAsia="仿宋_GB2312" w:cs="Times New Roman"/>
          <w:sz w:val="32"/>
          <w:szCs w:val="32"/>
          <w:highlight w:val="none"/>
        </w:rPr>
        <w:t>社会效益</w:t>
      </w:r>
      <w:bookmarkEnd w:id="6"/>
      <w:r>
        <w:rPr>
          <w:rFonts w:hint="default" w:ascii="Times New Roman" w:hAnsi="Times New Roman" w:eastAsia="仿宋_GB2312" w:cs="Times New Roman"/>
          <w:sz w:val="32"/>
          <w:szCs w:val="32"/>
          <w:highlight w:val="none"/>
        </w:rPr>
        <w:t>等方面产生了积极的影响。具体而言，社会效益等方面的提升，为项目的利益相关者带来了实实在在的利益。</w:t>
      </w:r>
    </w:p>
    <w:p w14:paraId="028A64A3">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rPr>
        <w:t>综上所述，</w:t>
      </w:r>
      <w:r>
        <w:rPr>
          <w:rFonts w:hint="default" w:ascii="Times New Roman" w:hAnsi="Times New Roman" w:eastAsia="仿宋_GB2312" w:cs="Times New Roman"/>
          <w:color w:val="auto"/>
          <w:sz w:val="32"/>
          <w:szCs w:val="32"/>
          <w:highlight w:val="none"/>
        </w:rPr>
        <w:t>2024年本级追加，达党财纪字〔2024〕1号（21），追加机关工委机关工会联合会经费</w:t>
      </w:r>
      <w:r>
        <w:rPr>
          <w:rFonts w:hint="default" w:ascii="Times New Roman" w:hAnsi="Times New Roman" w:eastAsia="仿宋_GB2312" w:cs="Times New Roman"/>
          <w:sz w:val="32"/>
          <w:szCs w:val="32"/>
          <w:highlight w:val="none"/>
        </w:rPr>
        <w:t>在绩效评价中表现出色，达到了项目的预期目标，并在多个方面取得了显著的成效。</w:t>
      </w:r>
    </w:p>
    <w:p w14:paraId="0B38B185">
      <w:pPr>
        <w:pStyle w:val="10"/>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二</w:t>
      </w: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评价结论</w:t>
      </w:r>
    </w:p>
    <w:p w14:paraId="29CEC266">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lang w:eastAsia="zh-CN"/>
        </w:rPr>
      </w:pPr>
      <w:r>
        <w:rPr>
          <w:rFonts w:hint="default" w:ascii="Times New Roman" w:hAnsi="Times New Roman" w:eastAsia="仿宋_GB2312" w:cs="Times New Roman"/>
          <w:b w:val="0"/>
          <w:bCs w:val="0"/>
        </w:rPr>
        <w:t>运用绩效评价组制定的评价指标体系以及财政部《项目支出绩效评价管理办法》（财预〔2020〕10号）文件的评分标准，通过数据采集、问卷调查及访谈等方式，对本项目进行客观评价，最终评分结果：</w:t>
      </w:r>
      <w:r>
        <w:rPr>
          <w:rFonts w:hint="eastAsia" w:ascii="Times New Roman" w:hAnsi="Times New Roman" w:eastAsia="仿宋_GB2312" w:cs="Times New Roman"/>
          <w:b w:val="0"/>
          <w:bCs w:val="0"/>
        </w:rPr>
        <w:t>总得分为</w:t>
      </w:r>
      <w:r>
        <w:rPr>
          <w:rFonts w:hint="eastAsia" w:ascii="Times New Roman" w:hAnsi="Times New Roman" w:eastAsia="仿宋_GB2312" w:cs="Times New Roman"/>
          <w:b w:val="0"/>
          <w:bCs w:val="0"/>
          <w:lang w:val="en-US" w:eastAsia="zh-CN"/>
        </w:rPr>
        <w:t>100</w:t>
      </w:r>
      <w:r>
        <w:rPr>
          <w:rFonts w:hint="eastAsia" w:ascii="Times New Roman" w:hAnsi="Times New Roman" w:eastAsia="仿宋_GB2312" w:cs="Times New Roman"/>
          <w:b w:val="0"/>
          <w:bCs w:val="0"/>
        </w:rPr>
        <w:t>分，属于“优”。其中，项目决策类指标权重为20分，得分为</w:t>
      </w:r>
      <w:r>
        <w:rPr>
          <w:rFonts w:hint="eastAsia" w:ascii="Times New Roman" w:hAnsi="Times New Roman" w:eastAsia="仿宋_GB2312" w:cs="Times New Roman"/>
          <w:b w:val="0"/>
          <w:bCs w:val="0"/>
          <w:lang w:val="en-US" w:eastAsia="zh-CN"/>
        </w:rPr>
        <w:t>20</w:t>
      </w:r>
      <w:r>
        <w:rPr>
          <w:rFonts w:hint="eastAsia" w:ascii="Times New Roman" w:hAnsi="Times New Roman" w:eastAsia="仿宋_GB2312" w:cs="Times New Roman"/>
          <w:b w:val="0"/>
          <w:bCs w:val="0"/>
        </w:rPr>
        <w:t xml:space="preserve">分，得分率为 </w:t>
      </w:r>
      <w:r>
        <w:rPr>
          <w:rFonts w:hint="eastAsia" w:ascii="Times New Roman" w:hAnsi="Times New Roman" w:eastAsia="仿宋_GB2312" w:cs="Times New Roman"/>
          <w:b w:val="0"/>
          <w:bCs w:val="0"/>
          <w:lang w:val="en-US" w:eastAsia="zh-CN"/>
        </w:rPr>
        <w:t>100</w:t>
      </w:r>
      <w:r>
        <w:rPr>
          <w:rFonts w:hint="eastAsia" w:ascii="Times New Roman" w:hAnsi="Times New Roman" w:eastAsia="仿宋_GB2312" w:cs="Times New Roman"/>
          <w:b w:val="0"/>
          <w:bCs w:val="0"/>
        </w:rPr>
        <w:t>%。项目过程类指标权重为20分，得分为</w:t>
      </w:r>
      <w:r>
        <w:rPr>
          <w:rFonts w:hint="eastAsia" w:ascii="Times New Roman" w:hAnsi="Times New Roman" w:eastAsia="仿宋_GB2312" w:cs="Times New Roman"/>
          <w:b w:val="0"/>
          <w:bCs w:val="0"/>
          <w:lang w:val="en-US" w:eastAsia="zh-CN"/>
        </w:rPr>
        <w:t>100</w:t>
      </w:r>
      <w:r>
        <w:rPr>
          <w:rFonts w:hint="eastAsia" w:ascii="Times New Roman" w:hAnsi="Times New Roman" w:eastAsia="仿宋_GB2312" w:cs="Times New Roman"/>
          <w:b w:val="0"/>
          <w:bCs w:val="0"/>
        </w:rPr>
        <w:t>分，得分率为</w:t>
      </w:r>
      <w:r>
        <w:rPr>
          <w:rFonts w:hint="eastAsia" w:ascii="Times New Roman" w:hAnsi="Times New Roman" w:eastAsia="仿宋_GB2312" w:cs="Times New Roman"/>
          <w:b w:val="0"/>
          <w:bCs w:val="0"/>
          <w:lang w:val="en-US" w:eastAsia="zh-CN"/>
        </w:rPr>
        <w:t>100</w:t>
      </w:r>
      <w:r>
        <w:rPr>
          <w:rFonts w:hint="eastAsia" w:ascii="Times New Roman" w:hAnsi="Times New Roman" w:eastAsia="仿宋_GB2312" w:cs="Times New Roman"/>
          <w:b w:val="0"/>
          <w:bCs w:val="0"/>
        </w:rPr>
        <w:t>%。项目产出类指标权重为40分，得分为</w:t>
      </w:r>
      <w:r>
        <w:rPr>
          <w:rFonts w:hint="eastAsia" w:ascii="Times New Roman" w:hAnsi="Times New Roman" w:eastAsia="仿宋_GB2312" w:cs="Times New Roman"/>
          <w:b w:val="0"/>
          <w:bCs w:val="0"/>
          <w:lang w:val="en-US" w:eastAsia="zh-CN"/>
        </w:rPr>
        <w:t>40</w:t>
      </w:r>
      <w:r>
        <w:rPr>
          <w:rFonts w:hint="eastAsia" w:ascii="Times New Roman" w:hAnsi="Times New Roman" w:eastAsia="仿宋_GB2312" w:cs="Times New Roman"/>
          <w:b w:val="0"/>
          <w:bCs w:val="0"/>
        </w:rPr>
        <w:t>分，得分率为</w:t>
      </w:r>
      <w:r>
        <w:rPr>
          <w:rFonts w:hint="eastAsia" w:ascii="Times New Roman" w:hAnsi="Times New Roman" w:eastAsia="仿宋_GB2312" w:cs="Times New Roman"/>
          <w:b w:val="0"/>
          <w:bCs w:val="0"/>
          <w:lang w:val="en-US" w:eastAsia="zh-CN"/>
        </w:rPr>
        <w:t>100</w:t>
      </w:r>
      <w:r>
        <w:rPr>
          <w:rFonts w:hint="eastAsia" w:ascii="Times New Roman" w:hAnsi="Times New Roman" w:eastAsia="仿宋_GB2312" w:cs="Times New Roman"/>
          <w:b w:val="0"/>
          <w:bCs w:val="0"/>
        </w:rPr>
        <w:t>%。项目效益类指标权重为20分，得分为</w:t>
      </w:r>
      <w:r>
        <w:rPr>
          <w:rFonts w:hint="eastAsia" w:ascii="Times New Roman" w:hAnsi="Times New Roman" w:eastAsia="仿宋_GB2312" w:cs="Times New Roman"/>
          <w:b w:val="0"/>
          <w:bCs w:val="0"/>
          <w:lang w:val="en-US" w:eastAsia="zh-CN"/>
        </w:rPr>
        <w:t>20</w:t>
      </w:r>
      <w:r>
        <w:rPr>
          <w:rFonts w:hint="eastAsia" w:ascii="Times New Roman" w:hAnsi="Times New Roman" w:eastAsia="仿宋_GB2312" w:cs="Times New Roman"/>
          <w:b w:val="0"/>
          <w:bCs w:val="0"/>
        </w:rPr>
        <w:t>分，得分率为</w:t>
      </w:r>
      <w:r>
        <w:rPr>
          <w:rFonts w:hint="eastAsia" w:ascii="Times New Roman" w:hAnsi="Times New Roman" w:eastAsia="仿宋_GB2312" w:cs="Times New Roman"/>
          <w:b w:val="0"/>
          <w:bCs w:val="0"/>
          <w:lang w:val="en-US" w:eastAsia="zh-CN"/>
        </w:rPr>
        <w:t>100</w:t>
      </w:r>
      <w:r>
        <w:rPr>
          <w:rFonts w:hint="eastAsia" w:ascii="Times New Roman" w:hAnsi="Times New Roman" w:eastAsia="仿宋_GB2312" w:cs="Times New Roman"/>
          <w:b w:val="0"/>
          <w:bCs w:val="0"/>
        </w:rPr>
        <w:t>%。</w:t>
      </w:r>
      <w:r>
        <w:rPr>
          <w:rFonts w:hint="default" w:ascii="Times New Roman" w:hAnsi="Times New Roman" w:eastAsia="仿宋_GB2312" w:cs="Times New Roman"/>
          <w:b w:val="0"/>
          <w:bCs w:val="0"/>
        </w:rPr>
        <w:t>具体打分情况详见：附件1综合评分表</w:t>
      </w:r>
      <w:r>
        <w:rPr>
          <w:rFonts w:hint="default" w:ascii="Times New Roman" w:hAnsi="Times New Roman" w:eastAsia="仿宋_GB2312" w:cs="Times New Roman"/>
          <w:b w:val="0"/>
          <w:bCs w:val="0"/>
          <w:lang w:eastAsia="zh-CN"/>
        </w:rPr>
        <w:t>。</w:t>
      </w:r>
    </w:p>
    <w:p w14:paraId="3BC7A51A">
      <w:pPr>
        <w:pStyle w:val="10"/>
        <w:keepNext w:val="0"/>
        <w:keepLines w:val="0"/>
        <w:pageBreakBefore w:val="0"/>
        <w:widowControl/>
        <w:kinsoku/>
        <w:wordWrap/>
        <w:overflowPunct/>
        <w:topLinePunct w:val="0"/>
        <w:autoSpaceDE/>
        <w:autoSpaceDN/>
        <w:bidi w:val="0"/>
        <w:adjustRightInd/>
        <w:snapToGrid/>
        <w:spacing w:before="0" w:after="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表1综合评分表</w:t>
      </w:r>
    </w:p>
    <w:tbl>
      <w:tblPr>
        <w:tblStyle w:val="14"/>
        <w:tblW w:w="8760" w:type="dxa"/>
        <w:jc w:val="center"/>
        <w:tblLayout w:type="fixed"/>
        <w:tblCellMar>
          <w:top w:w="0" w:type="dxa"/>
          <w:left w:w="108" w:type="dxa"/>
          <w:bottom w:w="0" w:type="dxa"/>
          <w:right w:w="108" w:type="dxa"/>
        </w:tblCellMar>
      </w:tblPr>
      <w:tblGrid>
        <w:gridCol w:w="2787"/>
        <w:gridCol w:w="1927"/>
        <w:gridCol w:w="2023"/>
        <w:gridCol w:w="2023"/>
      </w:tblGrid>
      <w:tr w14:paraId="3D4F6A84">
        <w:tblPrEx>
          <w:tblCellMar>
            <w:top w:w="0" w:type="dxa"/>
            <w:left w:w="108" w:type="dxa"/>
            <w:bottom w:w="0" w:type="dxa"/>
            <w:right w:w="108" w:type="dxa"/>
          </w:tblCellMar>
        </w:tblPrEx>
        <w:trPr>
          <w:trHeight w:val="90" w:hRule="atLeast"/>
          <w:tblHeader/>
          <w:jc w:val="center"/>
        </w:trPr>
        <w:tc>
          <w:tcPr>
            <w:tcW w:w="2787" w:type="dxa"/>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14:paraId="410CB4BF">
            <w:pPr>
              <w:jc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一级指标</w:t>
            </w:r>
          </w:p>
        </w:tc>
        <w:tc>
          <w:tcPr>
            <w:tcW w:w="1927"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29E4EC80">
            <w:pPr>
              <w:jc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权重分</w:t>
            </w:r>
          </w:p>
        </w:tc>
        <w:tc>
          <w:tcPr>
            <w:tcW w:w="2023"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66D61F8B">
            <w:pPr>
              <w:jc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得分</w:t>
            </w:r>
          </w:p>
        </w:tc>
        <w:tc>
          <w:tcPr>
            <w:tcW w:w="2023"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0BF9064B">
            <w:pPr>
              <w:jc w:val="center"/>
              <w:rPr>
                <w:rFonts w:hint="eastAsia" w:ascii="Times New Roman" w:hAnsi="Times New Roman" w:eastAsia="仿宋_GB2312" w:cs="Times New Roman"/>
                <w:b/>
                <w:bCs/>
                <w:color w:val="000000"/>
                <w:sz w:val="21"/>
                <w:szCs w:val="21"/>
                <w:lang w:val="en-US" w:eastAsia="zh-CN"/>
              </w:rPr>
            </w:pPr>
            <w:r>
              <w:rPr>
                <w:rFonts w:hint="eastAsia" w:eastAsia="仿宋_GB2312" w:cs="Times New Roman"/>
                <w:b/>
                <w:bCs/>
                <w:color w:val="000000"/>
                <w:sz w:val="21"/>
                <w:szCs w:val="21"/>
                <w:lang w:val="en-US" w:eastAsia="zh-CN"/>
              </w:rPr>
              <w:t>得分率</w:t>
            </w:r>
          </w:p>
        </w:tc>
      </w:tr>
      <w:tr w14:paraId="4CC96B35">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14:paraId="1F1E9572">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项目决策</w:t>
            </w:r>
          </w:p>
        </w:tc>
        <w:tc>
          <w:tcPr>
            <w:tcW w:w="1927" w:type="dxa"/>
            <w:tcBorders>
              <w:top w:val="nil"/>
              <w:left w:val="nil"/>
              <w:bottom w:val="single" w:color="auto" w:sz="4" w:space="0"/>
              <w:right w:val="single" w:color="auto" w:sz="4" w:space="0"/>
            </w:tcBorders>
            <w:shd w:val="clear" w:color="auto" w:fill="auto"/>
            <w:vAlign w:val="center"/>
          </w:tcPr>
          <w:p w14:paraId="3A2B2E23">
            <w:pPr>
              <w:jc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color w:val="000000"/>
                <w:sz w:val="21"/>
                <w:szCs w:val="21"/>
                <w:highlight w:val="none"/>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14:paraId="1EEBBF02">
            <w:pPr>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14:paraId="7B1F4E9C">
            <w:pPr>
              <w:jc w:val="center"/>
              <w:rPr>
                <w:rFonts w:hint="default" w:ascii="Times New Roman" w:hAnsi="Times New Roman" w:eastAsia="仿宋_GB2312" w:cs="Times New Roman"/>
                <w:color w:val="000000"/>
                <w:sz w:val="21"/>
                <w:szCs w:val="21"/>
                <w:lang w:val="en-US" w:eastAsia="zh-CN"/>
              </w:rPr>
            </w:pPr>
            <w:bookmarkStart w:id="7" w:name="OLE_LINK1"/>
            <w:r>
              <w:rPr>
                <w:rFonts w:hint="eastAsia" w:eastAsia="仿宋_GB2312" w:cs="Times New Roman"/>
                <w:color w:val="000000"/>
                <w:sz w:val="21"/>
                <w:szCs w:val="21"/>
                <w:lang w:val="en-US" w:eastAsia="zh-CN"/>
              </w:rPr>
              <w:t>100%</w:t>
            </w:r>
            <w:bookmarkEnd w:id="7"/>
          </w:p>
        </w:tc>
      </w:tr>
      <w:tr w14:paraId="00601D2B">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14:paraId="5283CE8C">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项目过程</w:t>
            </w:r>
          </w:p>
        </w:tc>
        <w:tc>
          <w:tcPr>
            <w:tcW w:w="1927" w:type="dxa"/>
            <w:tcBorders>
              <w:top w:val="nil"/>
              <w:left w:val="nil"/>
              <w:bottom w:val="single" w:color="auto" w:sz="4" w:space="0"/>
              <w:right w:val="single" w:color="auto" w:sz="4" w:space="0"/>
            </w:tcBorders>
            <w:shd w:val="clear" w:color="auto" w:fill="auto"/>
            <w:vAlign w:val="center"/>
          </w:tcPr>
          <w:p w14:paraId="4146F519">
            <w:pPr>
              <w:jc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color w:val="000000"/>
                <w:sz w:val="21"/>
                <w:szCs w:val="21"/>
                <w:highlight w:val="none"/>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14:paraId="57AA9FB6">
            <w:pPr>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14:paraId="3EB34E2E">
            <w:pPr>
              <w:jc w:val="center"/>
              <w:rPr>
                <w:rFonts w:hint="default" w:ascii="Times New Roman" w:hAnsi="Times New Roman" w:eastAsia="仿宋_GB2312" w:cs="Times New Roman"/>
                <w:color w:val="000000"/>
                <w:sz w:val="21"/>
                <w:szCs w:val="21"/>
              </w:rPr>
            </w:pPr>
            <w:r>
              <w:rPr>
                <w:rFonts w:hint="eastAsia" w:eastAsia="仿宋_GB2312" w:cs="Times New Roman"/>
                <w:color w:val="000000"/>
                <w:sz w:val="21"/>
                <w:szCs w:val="21"/>
                <w:lang w:val="en-US" w:eastAsia="zh-CN"/>
              </w:rPr>
              <w:t>100%</w:t>
            </w:r>
          </w:p>
        </w:tc>
      </w:tr>
      <w:tr w14:paraId="58CDECCD">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14:paraId="36F98BD8">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项目产出</w:t>
            </w:r>
          </w:p>
        </w:tc>
        <w:tc>
          <w:tcPr>
            <w:tcW w:w="1927" w:type="dxa"/>
            <w:tcBorders>
              <w:top w:val="nil"/>
              <w:left w:val="nil"/>
              <w:bottom w:val="single" w:color="auto" w:sz="4" w:space="0"/>
              <w:right w:val="single" w:color="auto" w:sz="4" w:space="0"/>
            </w:tcBorders>
            <w:shd w:val="clear" w:color="auto" w:fill="auto"/>
            <w:vAlign w:val="center"/>
          </w:tcPr>
          <w:p w14:paraId="19EE7F27">
            <w:pPr>
              <w:jc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color w:val="000000"/>
                <w:sz w:val="21"/>
                <w:szCs w:val="21"/>
                <w:highlight w:val="none"/>
                <w:lang w:val="en-US" w:eastAsia="zh-CN"/>
              </w:rPr>
              <w:t>40</w:t>
            </w:r>
          </w:p>
        </w:tc>
        <w:tc>
          <w:tcPr>
            <w:tcW w:w="2023" w:type="dxa"/>
            <w:tcBorders>
              <w:top w:val="nil"/>
              <w:left w:val="nil"/>
              <w:bottom w:val="single" w:color="auto" w:sz="4" w:space="0"/>
              <w:right w:val="single" w:color="auto" w:sz="4" w:space="0"/>
            </w:tcBorders>
            <w:shd w:val="clear" w:color="auto" w:fill="auto"/>
            <w:vAlign w:val="center"/>
          </w:tcPr>
          <w:p w14:paraId="2AD93BA8">
            <w:pPr>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lang w:val="en-US" w:eastAsia="zh-CN"/>
              </w:rPr>
              <w:t>40</w:t>
            </w:r>
          </w:p>
        </w:tc>
        <w:tc>
          <w:tcPr>
            <w:tcW w:w="2023" w:type="dxa"/>
            <w:tcBorders>
              <w:top w:val="nil"/>
              <w:left w:val="nil"/>
              <w:bottom w:val="single" w:color="auto" w:sz="4" w:space="0"/>
              <w:right w:val="single" w:color="auto" w:sz="4" w:space="0"/>
            </w:tcBorders>
            <w:shd w:val="clear" w:color="auto" w:fill="auto"/>
            <w:vAlign w:val="center"/>
          </w:tcPr>
          <w:p w14:paraId="69B4D3F3">
            <w:pPr>
              <w:jc w:val="center"/>
              <w:rPr>
                <w:rFonts w:hint="default" w:ascii="Times New Roman" w:hAnsi="Times New Roman" w:eastAsia="仿宋_GB2312" w:cs="Times New Roman"/>
                <w:color w:val="000000"/>
                <w:sz w:val="21"/>
                <w:szCs w:val="21"/>
              </w:rPr>
            </w:pPr>
            <w:r>
              <w:rPr>
                <w:rFonts w:hint="eastAsia" w:eastAsia="仿宋_GB2312" w:cs="Times New Roman"/>
                <w:color w:val="000000"/>
                <w:sz w:val="21"/>
                <w:szCs w:val="21"/>
                <w:lang w:val="en-US" w:eastAsia="zh-CN"/>
              </w:rPr>
              <w:t>100%</w:t>
            </w:r>
          </w:p>
        </w:tc>
      </w:tr>
      <w:tr w14:paraId="335A7ABD">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14:paraId="445CEDAE">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项目效益</w:t>
            </w:r>
          </w:p>
        </w:tc>
        <w:tc>
          <w:tcPr>
            <w:tcW w:w="1927" w:type="dxa"/>
            <w:tcBorders>
              <w:top w:val="nil"/>
              <w:left w:val="nil"/>
              <w:bottom w:val="single" w:color="auto" w:sz="4" w:space="0"/>
              <w:right w:val="single" w:color="auto" w:sz="4" w:space="0"/>
            </w:tcBorders>
            <w:shd w:val="clear" w:color="auto" w:fill="auto"/>
            <w:vAlign w:val="center"/>
          </w:tcPr>
          <w:p w14:paraId="2EBA5D26">
            <w:pPr>
              <w:jc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color w:val="000000"/>
                <w:sz w:val="21"/>
                <w:szCs w:val="21"/>
                <w:highlight w:val="none"/>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14:paraId="33A575DD">
            <w:pPr>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14:paraId="53AE7A08">
            <w:pPr>
              <w:jc w:val="center"/>
              <w:rPr>
                <w:rFonts w:hint="default" w:ascii="Times New Roman" w:hAnsi="Times New Roman" w:eastAsia="仿宋_GB2312" w:cs="Times New Roman"/>
                <w:color w:val="000000"/>
                <w:sz w:val="21"/>
                <w:szCs w:val="21"/>
              </w:rPr>
            </w:pPr>
            <w:r>
              <w:rPr>
                <w:rFonts w:hint="eastAsia" w:eastAsia="仿宋_GB2312" w:cs="Times New Roman"/>
                <w:color w:val="000000"/>
                <w:sz w:val="21"/>
                <w:szCs w:val="21"/>
                <w:lang w:val="en-US" w:eastAsia="zh-CN"/>
              </w:rPr>
              <w:t>100%</w:t>
            </w:r>
          </w:p>
        </w:tc>
      </w:tr>
      <w:tr w14:paraId="11945E41">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14:paraId="37E34470">
            <w:pPr>
              <w:jc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合计</w:t>
            </w:r>
          </w:p>
        </w:tc>
        <w:tc>
          <w:tcPr>
            <w:tcW w:w="1927" w:type="dxa"/>
            <w:tcBorders>
              <w:top w:val="nil"/>
              <w:left w:val="nil"/>
              <w:bottom w:val="single" w:color="auto" w:sz="4" w:space="0"/>
              <w:right w:val="single" w:color="auto" w:sz="4" w:space="0"/>
            </w:tcBorders>
            <w:shd w:val="clear" w:color="auto" w:fill="auto"/>
            <w:vAlign w:val="center"/>
          </w:tcPr>
          <w:p w14:paraId="6EE8442A">
            <w:pPr>
              <w:jc w:val="center"/>
              <w:rPr>
                <w:rFonts w:hint="default" w:ascii="Times New Roman" w:hAnsi="Times New Roman" w:eastAsia="仿宋_GB2312" w:cs="Times New Roman"/>
                <w:b/>
                <w:bCs/>
                <w:color w:val="000000"/>
                <w:sz w:val="21"/>
                <w:szCs w:val="21"/>
                <w:lang w:val="en-US" w:eastAsia="zh-CN"/>
              </w:rPr>
            </w:pPr>
            <w:r>
              <w:rPr>
                <w:rFonts w:hint="default" w:ascii="Times New Roman" w:hAnsi="Times New Roman" w:eastAsia="仿宋_GB2312" w:cs="Times New Roman"/>
                <w:b/>
                <w:bCs/>
                <w:color w:val="000000"/>
                <w:sz w:val="21"/>
                <w:szCs w:val="21"/>
                <w:lang w:val="en-US" w:eastAsia="zh-CN"/>
              </w:rPr>
              <w:t>100</w:t>
            </w:r>
          </w:p>
        </w:tc>
        <w:tc>
          <w:tcPr>
            <w:tcW w:w="2023" w:type="dxa"/>
            <w:tcBorders>
              <w:top w:val="nil"/>
              <w:left w:val="nil"/>
              <w:bottom w:val="single" w:color="auto" w:sz="4" w:space="0"/>
              <w:right w:val="single" w:color="auto" w:sz="4" w:space="0"/>
            </w:tcBorders>
            <w:shd w:val="clear" w:color="auto" w:fill="auto"/>
            <w:vAlign w:val="center"/>
          </w:tcPr>
          <w:p w14:paraId="1D61807C">
            <w:pPr>
              <w:jc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lang w:val="en-US" w:eastAsia="zh-CN"/>
              </w:rPr>
              <w:t>100</w:t>
            </w:r>
          </w:p>
        </w:tc>
        <w:tc>
          <w:tcPr>
            <w:tcW w:w="2023" w:type="dxa"/>
            <w:tcBorders>
              <w:top w:val="nil"/>
              <w:left w:val="nil"/>
              <w:bottom w:val="single" w:color="auto" w:sz="4" w:space="0"/>
              <w:right w:val="single" w:color="auto" w:sz="4" w:space="0"/>
            </w:tcBorders>
            <w:shd w:val="clear" w:color="auto" w:fill="auto"/>
            <w:vAlign w:val="center"/>
          </w:tcPr>
          <w:p w14:paraId="64D599B2">
            <w:pPr>
              <w:jc w:val="center"/>
              <w:rPr>
                <w:rFonts w:hint="default" w:ascii="Times New Roman" w:hAnsi="Times New Roman" w:eastAsia="仿宋_GB2312" w:cs="Times New Roman"/>
                <w:b/>
                <w:bCs/>
                <w:color w:val="000000"/>
                <w:sz w:val="21"/>
                <w:szCs w:val="21"/>
              </w:rPr>
            </w:pPr>
            <w:r>
              <w:rPr>
                <w:rFonts w:hint="eastAsia" w:eastAsia="仿宋_GB2312" w:cs="Times New Roman"/>
                <w:color w:val="000000"/>
                <w:sz w:val="21"/>
                <w:szCs w:val="21"/>
                <w:lang w:val="en-US" w:eastAsia="zh-CN"/>
              </w:rPr>
              <w:t>100%</w:t>
            </w:r>
          </w:p>
        </w:tc>
      </w:tr>
    </w:tbl>
    <w:p w14:paraId="2921E3C6">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四、绩效评价指标分析</w:t>
      </w:r>
    </w:p>
    <w:p w14:paraId="31619125">
      <w:pPr>
        <w:pStyle w:val="10"/>
        <w:spacing w:before="0" w:after="0" w:line="560" w:lineRule="exact"/>
        <w:ind w:firstLine="643" w:firstLineChars="200"/>
        <w:jc w:val="both"/>
        <w:rPr>
          <w:rFonts w:hint="default" w:ascii="Times New Roman" w:hAnsi="Times New Roman" w:eastAsia="楷体_GB2312" w:cs="Times New Roman"/>
        </w:rPr>
      </w:pPr>
      <w:r>
        <w:rPr>
          <w:rFonts w:hint="default" w:ascii="Times New Roman" w:hAnsi="Times New Roman" w:eastAsia="楷体_GB2312" w:cs="Times New Roman"/>
        </w:rPr>
        <w:t>（一）项目决策情况</w:t>
      </w:r>
    </w:p>
    <w:p w14:paraId="11EE3CA3">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项目决策类指标包括项目立项、绩效目标和资金投入三方面的内容，由</w:t>
      </w: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个三级指标构成，权重分值为20分，实际得分</w:t>
      </w:r>
      <w:r>
        <w:rPr>
          <w:rFonts w:hint="eastAsia"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p>
    <w:p w14:paraId="1DA979FF">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1.项目立项</w:t>
      </w:r>
    </w:p>
    <w:p w14:paraId="3235CDBF">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（1）立项依据充分性</w:t>
      </w:r>
    </w:p>
    <w:p w14:paraId="63F4455C">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该项目立项符合国家《中华人民共和国工会法》</w:t>
      </w:r>
      <w:r>
        <w:rPr>
          <w:rFonts w:hint="eastAsia"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lang w:val="en-US" w:eastAsia="zh-CN"/>
        </w:rPr>
        <w:t>关于加强基层工会经费收支管理的通知》（总工发〔2014〕4号），符合行业规划要求，围绕本年度工作重点和工作计划制定经费预算，属于公共财政支持范围。本项目与部门内部其他相关项目不重复。部门发展规划及职能文件等归档完整。</w:t>
      </w:r>
    </w:p>
    <w:p w14:paraId="21081121">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（2）立项程序规范性</w:t>
      </w:r>
    </w:p>
    <w:p w14:paraId="2B137A61">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rPr>
        <w:t>项目申请、设立过程符合相关要求，</w:t>
      </w:r>
      <w:r>
        <w:rPr>
          <w:rFonts w:hint="default" w:ascii="Times New Roman" w:hAnsi="Times New Roman" w:eastAsia="仿宋_GB2312" w:cs="Times New Roman"/>
          <w:sz w:val="32"/>
          <w:szCs w:val="32"/>
          <w:lang w:eastAsia="zh-Hans"/>
        </w:rPr>
        <w:t>严格按照审批流程准备符合要求的文件、材料</w:t>
      </w:r>
      <w:r>
        <w:rPr>
          <w:rFonts w:hint="default" w:ascii="Times New Roman" w:hAnsi="Times New Roman" w:eastAsia="仿宋_GB2312" w:cs="Times New Roman"/>
          <w:sz w:val="32"/>
          <w:szCs w:val="32"/>
          <w:highlight w:val="none"/>
          <w:lang w:eastAsia="zh-Hans"/>
        </w:rPr>
        <w:t>；</w:t>
      </w:r>
      <w:r>
        <w:rPr>
          <w:rFonts w:hint="default" w:ascii="Times New Roman" w:hAnsi="Times New Roman" w:eastAsia="仿宋_GB2312" w:cs="Times New Roman"/>
          <w:sz w:val="32"/>
          <w:szCs w:val="32"/>
          <w:highlight w:val="none"/>
          <w:lang w:val="en-US" w:eastAsia="zh-CN"/>
        </w:rPr>
        <w:t>根据</w:t>
      </w:r>
      <w:r>
        <w:rPr>
          <w:rFonts w:hint="eastAsia" w:eastAsia="仿宋_GB2312" w:cs="Times New Roman"/>
          <w:sz w:val="32"/>
          <w:szCs w:val="32"/>
          <w:highlight w:val="none"/>
          <w:lang w:val="en-US" w:eastAsia="zh-CN"/>
        </w:rPr>
        <w:t>工作任务需求</w:t>
      </w:r>
      <w:r>
        <w:rPr>
          <w:rFonts w:hint="default" w:ascii="Times New Roman" w:hAnsi="Times New Roman" w:eastAsia="仿宋_GB2312" w:cs="Times New Roman"/>
          <w:sz w:val="32"/>
          <w:szCs w:val="32"/>
          <w:highlight w:val="none"/>
          <w:lang w:val="en-US" w:eastAsia="zh-CN"/>
        </w:rPr>
        <w:t>依据编制工作计划和经费预算，经过与部门项目分管</w:t>
      </w:r>
      <w:r>
        <w:rPr>
          <w:rFonts w:hint="default" w:ascii="Times New Roman" w:hAnsi="Times New Roman" w:eastAsia="仿宋_GB2312" w:cs="Times New Roman"/>
          <w:sz w:val="32"/>
          <w:szCs w:val="32"/>
          <w:lang w:val="en-US" w:eastAsia="zh-CN"/>
        </w:rPr>
        <w:t>领导沟通、筛选确定经费预算计划，确定最终预算方案。项目的审批文件、材料符合相关要求，项目事前经过必要</w:t>
      </w:r>
      <w:r>
        <w:rPr>
          <w:rFonts w:hint="default" w:ascii="Times New Roman" w:hAnsi="Times New Roman" w:eastAsia="仿宋_GB2312" w:cs="Times New Roman"/>
          <w:sz w:val="32"/>
          <w:szCs w:val="32"/>
          <w:highlight w:val="none"/>
          <w:lang w:val="en-US" w:eastAsia="zh-CN"/>
        </w:rPr>
        <w:t>的可行性研究、风险评估、绩效评估、集体决策，保障了程序的规范性。</w:t>
      </w:r>
    </w:p>
    <w:p w14:paraId="7C506845">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2.绩效目标</w:t>
      </w:r>
    </w:p>
    <w:p w14:paraId="7FB06CA3">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（1）绩效目标合理性</w:t>
      </w:r>
    </w:p>
    <w:p w14:paraId="5407C47A">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Hans"/>
        </w:rPr>
        <w:t>年初结合实际工作内容</w:t>
      </w:r>
      <w:r>
        <w:rPr>
          <w:rFonts w:hint="default" w:ascii="Times New Roman" w:hAnsi="Times New Roman" w:eastAsia="仿宋_GB2312" w:cs="Times New Roman"/>
          <w:sz w:val="32"/>
          <w:szCs w:val="32"/>
          <w:lang w:val="en-US" w:eastAsia="zh-CN"/>
        </w:rPr>
        <w:t>设定绩效目标</w:t>
      </w:r>
      <w:r>
        <w:rPr>
          <w:rFonts w:hint="default" w:ascii="Times New Roman" w:hAnsi="Times New Roman" w:eastAsia="仿宋_GB2312" w:cs="Times New Roman"/>
          <w:sz w:val="32"/>
          <w:szCs w:val="32"/>
          <w:lang w:val="en-US" w:eastAsia="zh-Hans"/>
        </w:rPr>
        <w:t>，绩效目标</w:t>
      </w:r>
      <w:r>
        <w:rPr>
          <w:rFonts w:hint="default" w:ascii="Times New Roman" w:hAnsi="Times New Roman" w:eastAsia="仿宋_GB2312" w:cs="Times New Roman"/>
          <w:sz w:val="32"/>
          <w:szCs w:val="32"/>
          <w:lang w:val="en-US" w:eastAsia="zh-CN"/>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170A7BBB">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（2）绩效指标明确性</w:t>
      </w:r>
    </w:p>
    <w:p w14:paraId="012A6B95">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项目设置了明确的预期产出效益和效果，将绩效目标细化分解为具体的绩效指标，绩效目标与项目目标任务数相对应，绩效目标设定的绩效指标清晰、细化、可衡量。</w:t>
      </w:r>
    </w:p>
    <w:p w14:paraId="1A773FB4">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3.资金投入</w:t>
      </w:r>
    </w:p>
    <w:p w14:paraId="55459BA3">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（1）预算编制科学性</w:t>
      </w:r>
    </w:p>
    <w:p w14:paraId="57CD8E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0CE7A583">
      <w:pPr>
        <w:shd w:val="clear"/>
        <w:spacing w:line="600" w:lineRule="exact"/>
        <w:ind w:firstLine="640" w:firstLineChars="200"/>
        <w:outlineLvl w:val="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在预算编制过程中，</w:t>
      </w:r>
      <w:r>
        <w:rPr>
          <w:rFonts w:hint="default" w:ascii="Times New Roman" w:hAnsi="Times New Roman" w:eastAsia="仿宋_GB2312" w:cs="Times New Roman"/>
          <w:sz w:val="32"/>
          <w:szCs w:val="32"/>
          <w:highlight w:val="none"/>
          <w:lang w:val="en-US" w:eastAsia="zh-CN"/>
        </w:rPr>
        <w:t>还</w:t>
      </w:r>
      <w:r>
        <w:rPr>
          <w:rFonts w:hint="default" w:ascii="Times New Roman" w:hAnsi="Times New Roman" w:eastAsia="仿宋_GB2312" w:cs="Times New Roman"/>
          <w:sz w:val="32"/>
          <w:szCs w:val="32"/>
          <w:highlight w:val="none"/>
          <w:lang w:eastAsia="zh-CN"/>
        </w:rPr>
        <w:t>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53293B94">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（2）资金分配合理性</w:t>
      </w:r>
    </w:p>
    <w:p w14:paraId="710F85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0CA4AD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2B94E3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14C1C555">
      <w:pPr>
        <w:pStyle w:val="10"/>
        <w:numPr>
          <w:ilvl w:val="0"/>
          <w:numId w:val="4"/>
        </w:numPr>
        <w:spacing w:before="0" w:after="0" w:line="560" w:lineRule="exact"/>
        <w:ind w:firstLine="643" w:firstLineChars="200"/>
        <w:jc w:val="both"/>
        <w:rPr>
          <w:rFonts w:hint="default" w:ascii="Times New Roman" w:hAnsi="Times New Roman" w:eastAsia="楷体" w:cs="Times New Roman"/>
        </w:rPr>
      </w:pPr>
      <w:r>
        <w:rPr>
          <w:rFonts w:hint="default" w:ascii="Times New Roman" w:hAnsi="Times New Roman" w:eastAsia="楷体" w:cs="Times New Roman"/>
        </w:rPr>
        <w:t>项目过程情况</w:t>
      </w:r>
    </w:p>
    <w:p w14:paraId="35CFA2BD">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项目过程类指标包括资金管理和组织实施两方面的内容，由</w:t>
      </w:r>
      <w:r>
        <w:rPr>
          <w:rFonts w:hint="default" w:ascii="Times New Roman" w:hAnsi="Times New Roman" w:eastAsia="仿宋_GB2312" w:cs="Times New Roman"/>
          <w:sz w:val="32"/>
          <w:szCs w:val="32"/>
          <w:highlight w:val="none"/>
          <w:lang w:val="en-US" w:eastAsia="zh-CN"/>
        </w:rPr>
        <w:t>5个</w:t>
      </w:r>
      <w:r>
        <w:rPr>
          <w:rFonts w:hint="default" w:ascii="Times New Roman" w:hAnsi="Times New Roman" w:eastAsia="仿宋_GB2312" w:cs="Times New Roman"/>
          <w:sz w:val="32"/>
          <w:szCs w:val="32"/>
          <w:lang w:val="en-US" w:eastAsia="zh-CN"/>
        </w:rPr>
        <w:t>三级指标构成，权重分值为20</w:t>
      </w:r>
      <w:r>
        <w:rPr>
          <w:rFonts w:hint="default" w:ascii="Times New Roman" w:hAnsi="Times New Roman" w:eastAsia="仿宋_GB2312" w:cs="Times New Roman"/>
          <w:sz w:val="32"/>
          <w:szCs w:val="32"/>
          <w:highlight w:val="none"/>
          <w:lang w:val="en-US" w:eastAsia="zh-CN"/>
        </w:rPr>
        <w:t>分，实际得分</w:t>
      </w:r>
      <w:r>
        <w:rPr>
          <w:rFonts w:hint="eastAsia"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p>
    <w:p w14:paraId="785A74E7">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1.资金管理</w:t>
      </w:r>
    </w:p>
    <w:p w14:paraId="29E9E2A0">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（1）资金到位率</w:t>
      </w:r>
    </w:p>
    <w:p w14:paraId="594A335E">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本项目总投资</w:t>
      </w:r>
      <w:r>
        <w:rPr>
          <w:rFonts w:hint="eastAsia" w:eastAsia="仿宋_GB2312" w:cs="Times New Roman"/>
          <w:sz w:val="32"/>
          <w:szCs w:val="32"/>
          <w:highlight w:val="none"/>
          <w:lang w:val="en-US" w:eastAsia="zh-CN"/>
        </w:rPr>
        <w:t>33.39</w:t>
      </w:r>
      <w:r>
        <w:rPr>
          <w:rFonts w:hint="default" w:ascii="Times New Roman" w:hAnsi="Times New Roman" w:eastAsia="仿宋_GB2312" w:cs="Times New Roman"/>
          <w:sz w:val="32"/>
          <w:szCs w:val="32"/>
          <w:highlight w:val="none"/>
          <w:lang w:val="en-US" w:eastAsia="zh-CN"/>
        </w:rPr>
        <w:t>万元，财政资金及时足额到位，到位率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%，预算资金按计划进度执行。</w:t>
      </w:r>
    </w:p>
    <w:p w14:paraId="3FA7F9CF">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（2）预算执行率</w:t>
      </w:r>
    </w:p>
    <w:p w14:paraId="3EC161D8">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预算编制较为详细，项目资金支出总体能够按照预算执行，预算资金支出</w:t>
      </w:r>
      <w:r>
        <w:rPr>
          <w:rFonts w:hint="eastAsia" w:eastAsia="仿宋_GB2312" w:cs="Times New Roman"/>
          <w:sz w:val="32"/>
          <w:szCs w:val="32"/>
          <w:highlight w:val="none"/>
          <w:lang w:val="en-US" w:eastAsia="zh-CN"/>
        </w:rPr>
        <w:t>33.39</w:t>
      </w:r>
      <w:r>
        <w:rPr>
          <w:rFonts w:hint="default" w:ascii="Times New Roman" w:hAnsi="Times New Roman" w:eastAsia="仿宋_GB2312" w:cs="Times New Roman"/>
          <w:sz w:val="32"/>
          <w:szCs w:val="32"/>
          <w:highlight w:val="none"/>
          <w:lang w:val="en-US" w:eastAsia="zh-CN"/>
        </w:rPr>
        <w:t>万元，预算执行率为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lang w:val="en-US" w:eastAsia="zh-CN"/>
        </w:rPr>
        <w:t>。</w:t>
      </w:r>
    </w:p>
    <w:p w14:paraId="260CF708">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（3）资金使用合规性</w:t>
      </w:r>
    </w:p>
    <w:p w14:paraId="1BCA4B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本项目的资金使用严格遵循了</w:t>
      </w:r>
      <w:r>
        <w:rPr>
          <w:rFonts w:hint="default" w:ascii="Times New Roman" w:hAnsi="Times New Roman" w:eastAsia="仿宋_GB2312" w:cs="Times New Roman"/>
          <w:sz w:val="32"/>
          <w:szCs w:val="32"/>
          <w:highlight w:val="none"/>
        </w:rPr>
        <w:t>新疆维吾尔自治区</w:t>
      </w:r>
      <w:r>
        <w:rPr>
          <w:rFonts w:hint="default" w:ascii="Times New Roman" w:hAnsi="Times New Roman" w:eastAsia="仿宋_GB2312" w:cs="Times New Roman"/>
          <w:sz w:val="32"/>
          <w:szCs w:val="32"/>
          <w:highlight w:val="none"/>
          <w:lang w:val="en-US" w:eastAsia="zh-CN"/>
        </w:rPr>
        <w:t>总工会文件</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关于印发&lt;</w:t>
      </w:r>
      <w:r>
        <w:rPr>
          <w:rFonts w:hint="default" w:ascii="Times New Roman" w:hAnsi="Times New Roman" w:eastAsia="仿宋_GB2312" w:cs="Times New Roman"/>
          <w:sz w:val="32"/>
          <w:szCs w:val="32"/>
          <w:highlight w:val="none"/>
        </w:rPr>
        <w:t>新疆维吾尔自治区基层工会经费收支管理办法实施细则</w:t>
      </w:r>
      <w:r>
        <w:rPr>
          <w:rFonts w:hint="default" w:ascii="Times New Roman" w:hAnsi="Times New Roman" w:eastAsia="仿宋_GB2312" w:cs="Times New Roman"/>
          <w:sz w:val="32"/>
          <w:szCs w:val="32"/>
          <w:highlight w:val="none"/>
          <w:lang w:val="en-US" w:eastAsia="zh-CN"/>
        </w:rPr>
        <w:t>&gt;</w:t>
      </w:r>
      <w:r>
        <w:rPr>
          <w:rFonts w:hint="default" w:ascii="Times New Roman" w:hAnsi="Times New Roman" w:eastAsia="仿宋_GB2312" w:cs="Times New Roman"/>
          <w:sz w:val="32"/>
          <w:szCs w:val="32"/>
          <w:highlight w:val="none"/>
        </w:rPr>
        <w:t>的通知》（新工办</w:t>
      </w:r>
      <w:r>
        <w:rPr>
          <w:rFonts w:hint="default" w:ascii="Times New Roman" w:hAnsi="Times New Roman" w:eastAsia="仿宋_GB2312" w:cs="Times New Roman"/>
          <w:kern w:val="0"/>
          <w:sz w:val="32"/>
          <w:szCs w:val="32"/>
          <w:highlight w:val="none"/>
        </w:rPr>
        <w:t>〔20</w:t>
      </w:r>
      <w:r>
        <w:rPr>
          <w:rFonts w:hint="default" w:ascii="Times New Roman" w:hAnsi="Times New Roman" w:eastAsia="仿宋_GB2312" w:cs="Times New Roman"/>
          <w:kern w:val="0"/>
          <w:sz w:val="32"/>
          <w:szCs w:val="32"/>
          <w:highlight w:val="none"/>
          <w:lang w:val="en-US" w:eastAsia="zh-CN"/>
        </w:rPr>
        <w:t>19</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号）文件</w:t>
      </w:r>
      <w:r>
        <w:rPr>
          <w:rFonts w:hint="default" w:ascii="Times New Roman" w:hAnsi="Times New Roman" w:eastAsia="仿宋_GB2312" w:cs="Times New Roman"/>
          <w:sz w:val="32"/>
          <w:szCs w:val="32"/>
          <w:highlight w:val="none"/>
          <w:lang w:eastAsia="zh-CN"/>
        </w:rPr>
        <w:t>，确保了资金的合规性与安全性。在资金使用过程中，我们建立了完善的财务管理体系，对资金的流动进行了全程监控与记录。</w:t>
      </w:r>
    </w:p>
    <w:p w14:paraId="6613A3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2C3C3C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3DFA7820">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2.组织实施</w:t>
      </w:r>
    </w:p>
    <w:p w14:paraId="6A70415A">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（1）管理制度健全性</w:t>
      </w:r>
    </w:p>
    <w:p w14:paraId="293FFA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本项目拥有一套完善、健全的管理制度体系，为项目的成功实施提供了坚实的制度保障。项目管理制度的制定紧密结合了项目的特点与实际情况，涵盖了项目的策划、组织、实施、监控与收尾等各个环节。</w:t>
      </w:r>
    </w:p>
    <w:p w14:paraId="4D4210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在制度设计上，我们注重了制度的科学性与可操作性，确保制度能够切实指导项目的执行与管理。</w:t>
      </w:r>
    </w:p>
    <w:p w14:paraId="111EC6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11BEF00E">
      <w:pPr>
        <w:shd w:val="clear"/>
        <w:spacing w:line="600" w:lineRule="exact"/>
        <w:ind w:firstLine="640" w:firstLineChars="200"/>
        <w:outlineLvl w:val="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综上所述，本项目的管理制度是健全的、有效的，既符合项目的实际情况，又满足了项目管理的需要。管理制度的健全性为项目的成功实施提供了有力的保障，也为项目的绩效评价奠定了坚实的基础。</w:t>
      </w:r>
    </w:p>
    <w:p w14:paraId="3500E9F8">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（2）制度执行有效性</w:t>
      </w:r>
    </w:p>
    <w:p w14:paraId="68656A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本项目在执行过程中，管理制度得到了全面、有效的落实，为确保项目的顺利实施与目标实现提供了坚实的保障。项目</w:t>
      </w:r>
      <w:r>
        <w:rPr>
          <w:rFonts w:hint="default"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lang w:eastAsia="zh-CN"/>
        </w:rPr>
        <w:t>重视制度执行的重要性，通过明确责任分工、制定详细执行计划、加强监督考核等措施，确保了各项管理制度能够得到有效执行。</w:t>
      </w:r>
    </w:p>
    <w:p w14:paraId="42DA48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在具体执行过程中，项目团队成员严格按照制度要求进行操作。同时，我们还建立了有效的沟通机制与反馈机制，确保项目信息的及时传递与问题的及时解决，进一步提高了制度执行的效率与效果。</w:t>
      </w:r>
    </w:p>
    <w:p w14:paraId="2BD1F0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综上所述，本项目的管理制度在执行过程中表现出了高度的有效性，既确保了项目的顺利进行，又实现了项目目标的有效达成。</w:t>
      </w:r>
    </w:p>
    <w:p w14:paraId="32B5C135">
      <w:pPr>
        <w:pStyle w:val="12"/>
        <w:numPr>
          <w:ilvl w:val="0"/>
          <w:numId w:val="4"/>
        </w:numPr>
        <w:spacing w:line="560" w:lineRule="exact"/>
        <w:ind w:firstLine="643"/>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项目产出</w:t>
      </w:r>
      <w:r>
        <w:rPr>
          <w:rFonts w:hint="default" w:ascii="Times New Roman" w:hAnsi="Times New Roman" w:eastAsia="楷体_GB2312" w:cs="Times New Roman"/>
          <w:b/>
          <w:bCs/>
          <w:sz w:val="32"/>
          <w:szCs w:val="32"/>
          <w:lang w:val="en-US" w:eastAsia="zh-CN"/>
        </w:rPr>
        <w:t>情况</w:t>
      </w:r>
    </w:p>
    <w:p w14:paraId="46C06AAE">
      <w:pPr>
        <w:shd w:val="clear"/>
        <w:spacing w:line="600" w:lineRule="exact"/>
        <w:ind w:firstLine="640" w:firstLineChars="200"/>
        <w:outlineLvl w:val="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项目产出类指标包括产出数量、产出质量、产出时效、产出成本四方面的内容，由5个三级指标构成，权重分为40分，实际得分40分，得分率为100%。具体产出指标完成情况如下：</w:t>
      </w:r>
    </w:p>
    <w:p w14:paraId="64EA44D2">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 1 \* GB3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①</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数量指标：</w:t>
      </w:r>
    </w:p>
    <w:p w14:paraId="1F6825F1">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指标1：</w:t>
      </w:r>
      <w:r>
        <w:rPr>
          <w:rFonts w:hint="eastAsia" w:ascii="仿宋_GB2312" w:hAnsi="仿宋_GB2312" w:eastAsia="仿宋_GB2312" w:cs="仿宋_GB2312"/>
          <w:sz w:val="32"/>
          <w:szCs w:val="32"/>
          <w:highlight w:val="none"/>
          <w:lang w:val="en-US" w:eastAsia="zh-CN"/>
        </w:rPr>
        <w:t>资金涉及人数</w:t>
      </w:r>
      <w:r>
        <w:rPr>
          <w:rFonts w:hint="eastAsia" w:ascii="仿宋_GB2312" w:hAnsi="仿宋_GB2312" w:eastAsia="仿宋_GB2312" w:cs="仿宋_GB2312"/>
          <w:sz w:val="32"/>
          <w:szCs w:val="32"/>
          <w:highlight w:val="none"/>
        </w:rPr>
        <w:t>，指标值：</w:t>
      </w:r>
      <w:r>
        <w:rPr>
          <w:rFonts w:hint="eastAsia" w:ascii="仿宋_GB2312" w:hAnsi="仿宋_GB2312" w:eastAsia="仿宋_GB2312" w:cs="仿宋_GB2312"/>
          <w:sz w:val="32"/>
          <w:szCs w:val="32"/>
          <w:highlight w:val="none"/>
          <w:lang w:val="en-US" w:eastAsia="zh-CN"/>
        </w:rPr>
        <w:t>＝477人</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sz w:val="32"/>
          <w:szCs w:val="32"/>
          <w:highlight w:val="none"/>
          <w:lang w:val="en-US" w:eastAsia="zh-CN"/>
        </w:rPr>
        <w:t>477人</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根据工会资金发放要求范围，对所属范围内的非在编职工进行福利经费发放，确保每位符合条件的职工都能享受到应有的福利待遇，有效保障了职工的权益保障，增强了职工的归属感和幸福感。</w:t>
      </w:r>
    </w:p>
    <w:p w14:paraId="0AFB96A3">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指标</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涉及使用资金工会</w:t>
      </w:r>
      <w:r>
        <w:rPr>
          <w:rFonts w:hint="eastAsia" w:ascii="仿宋_GB2312" w:hAnsi="仿宋_GB2312" w:eastAsia="仿宋_GB2312" w:cs="仿宋_GB2312"/>
          <w:sz w:val="32"/>
          <w:szCs w:val="32"/>
          <w:highlight w:val="none"/>
        </w:rPr>
        <w:t>，指标值：</w:t>
      </w:r>
      <w:r>
        <w:rPr>
          <w:rFonts w:hint="eastAsia" w:ascii="仿宋_GB2312" w:hAnsi="仿宋_GB2312" w:eastAsia="仿宋_GB2312" w:cs="仿宋_GB2312"/>
          <w:sz w:val="32"/>
          <w:szCs w:val="32"/>
          <w:highlight w:val="none"/>
          <w:lang w:val="en-US" w:eastAsia="zh-CN"/>
        </w:rPr>
        <w:t>＝29个</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sz w:val="32"/>
          <w:szCs w:val="32"/>
          <w:highlight w:val="none"/>
          <w:lang w:val="en-US" w:eastAsia="zh-CN"/>
        </w:rPr>
        <w:t>29个</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。涉及符合单位</w:t>
      </w:r>
      <w:r>
        <w:rPr>
          <w:rFonts w:hint="eastAsia" w:ascii="仿宋_GB2312" w:hAnsi="仿宋_GB2312" w:eastAsia="仿宋_GB2312" w:cs="仿宋_GB2312"/>
          <w:sz w:val="32"/>
          <w:szCs w:val="32"/>
          <w:highlight w:val="none"/>
          <w:lang w:val="en-US" w:eastAsia="zh-CN"/>
        </w:rPr>
        <w:t>有达坂城区财政局工会委员会、达坂城区红十字会联合工会委员会、达坂城区人大常委会办公室工会委员会、达坂城区医疗保障局联合工会委员会等共</w:t>
      </w:r>
      <w:r>
        <w:rPr>
          <w:rFonts w:hint="eastAsia" w:ascii="仿宋_GB2312" w:hAnsi="仿宋_GB2312" w:eastAsia="仿宋_GB2312" w:cs="仿宋_GB2312"/>
          <w:sz w:val="32"/>
          <w:szCs w:val="32"/>
          <w:highlight w:val="none"/>
          <w:lang w:eastAsia="zh-CN"/>
        </w:rPr>
        <w:t>29</w:t>
      </w:r>
      <w:r>
        <w:rPr>
          <w:rFonts w:hint="eastAsia" w:ascii="仿宋_GB2312" w:hAnsi="仿宋_GB2312" w:eastAsia="仿宋_GB2312" w:cs="仿宋_GB2312"/>
          <w:sz w:val="32"/>
          <w:szCs w:val="32"/>
          <w:highlight w:val="none"/>
          <w:lang w:val="en-US" w:eastAsia="zh-CN"/>
        </w:rPr>
        <w:t>家工会</w:t>
      </w:r>
      <w:r>
        <w:rPr>
          <w:rFonts w:hint="eastAsia" w:ascii="仿宋_GB2312" w:hAnsi="仿宋_GB2312" w:eastAsia="仿宋_GB2312" w:cs="仿宋_GB2312"/>
          <w:sz w:val="32"/>
          <w:szCs w:val="32"/>
          <w:highlight w:val="none"/>
          <w:lang w:eastAsia="zh-CN"/>
        </w:rPr>
        <w:t>，覆盖面广，确保了福利政策的普惠性，让每一位符合条件的职工都能感受到组织的关怀和温暖。</w:t>
      </w:r>
    </w:p>
    <w:p w14:paraId="25F90E84">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 2 \* GB3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②</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质量指标：</w:t>
      </w:r>
    </w:p>
    <w:p w14:paraId="525C17A5">
      <w:pPr>
        <w:shd w:val="clear"/>
        <w:spacing w:line="600" w:lineRule="exact"/>
        <w:ind w:firstLine="640" w:firstLineChars="200"/>
        <w:outlineLvl w:val="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指标1：</w:t>
      </w:r>
      <w:r>
        <w:rPr>
          <w:rFonts w:hint="eastAsia" w:ascii="仿宋_GB2312" w:hAnsi="仿宋_GB2312" w:eastAsia="仿宋_GB2312" w:cs="仿宋_GB2312"/>
          <w:sz w:val="32"/>
          <w:szCs w:val="32"/>
          <w:highlight w:val="none"/>
          <w:lang w:val="en-US" w:eastAsia="zh-CN"/>
        </w:rPr>
        <w:t>资金支付准确率</w:t>
      </w:r>
      <w:r>
        <w:rPr>
          <w:rFonts w:hint="eastAsia" w:ascii="仿宋_GB2312" w:hAnsi="仿宋_GB2312" w:eastAsia="仿宋_GB2312" w:cs="仿宋_GB2312"/>
          <w:sz w:val="32"/>
          <w:szCs w:val="32"/>
          <w:highlight w:val="none"/>
        </w:rPr>
        <w:t>，指标值：</w:t>
      </w:r>
      <w:r>
        <w:rPr>
          <w:rFonts w:hint="eastAsia" w:ascii="仿宋_GB2312" w:hAnsi="仿宋_GB2312" w:eastAsia="仿宋_GB2312" w:cs="仿宋_GB2312"/>
          <w:sz w:val="32"/>
          <w:szCs w:val="32"/>
          <w:highlight w:val="none"/>
          <w:lang w:val="en-US" w:eastAsia="zh-CN"/>
        </w:rPr>
        <w:t>≥95%</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。通过严格的审核流程和系统管理，确保每笔资金支付的准确性，未出现错发、漏发现象，有效保障了资金使用的规范性和透明度。</w:t>
      </w:r>
    </w:p>
    <w:p w14:paraId="1065399A">
      <w:pPr>
        <w:shd w:val="clear"/>
        <w:spacing w:line="600" w:lineRule="exact"/>
        <w:ind w:firstLine="640" w:firstLineChars="200"/>
        <w:outlineLvl w:val="0"/>
        <w:rPr>
          <w:rFonts w:hint="eastAsia" w:ascii="仿宋_GB2312" w:hAnsi="仿宋_GB2312" w:eastAsia="仿宋_GB2312" w:cs="仿宋_GB2312"/>
          <w:sz w:val="32"/>
          <w:szCs w:val="32"/>
          <w:highlight w:val="none"/>
        </w:rPr>
      </w:pPr>
      <w:bookmarkStart w:id="8" w:name="OLE_LINK16"/>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 3 \* GB3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③</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时效指标：</w:t>
      </w:r>
    </w:p>
    <w:p w14:paraId="7ABFFE10">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指标1：</w:t>
      </w:r>
      <w:r>
        <w:rPr>
          <w:rFonts w:hint="eastAsia" w:ascii="仿宋_GB2312" w:hAnsi="仿宋_GB2312" w:eastAsia="仿宋_GB2312" w:cs="仿宋_GB2312"/>
          <w:sz w:val="32"/>
          <w:szCs w:val="32"/>
          <w:highlight w:val="none"/>
          <w:lang w:val="en-US" w:eastAsia="zh-CN"/>
        </w:rPr>
        <w:t>资金支付及时率</w:t>
      </w:r>
      <w:r>
        <w:rPr>
          <w:rFonts w:hint="eastAsia" w:ascii="仿宋_GB2312" w:hAnsi="仿宋_GB2312" w:eastAsia="仿宋_GB2312" w:cs="仿宋_GB2312"/>
          <w:sz w:val="32"/>
          <w:szCs w:val="32"/>
          <w:highlight w:val="none"/>
        </w:rPr>
        <w:t>，指标值：</w:t>
      </w:r>
      <w:r>
        <w:rPr>
          <w:rFonts w:hint="eastAsia" w:ascii="仿宋_GB2312" w:hAnsi="仿宋_GB2312" w:eastAsia="仿宋_GB2312" w:cs="仿宋_GB2312"/>
          <w:sz w:val="32"/>
          <w:szCs w:val="32"/>
          <w:highlight w:val="none"/>
          <w:lang w:val="en-US" w:eastAsia="zh-CN"/>
        </w:rPr>
        <w:t>≥95%</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bookmarkEnd w:id="8"/>
      <w:r>
        <w:rPr>
          <w:rFonts w:hint="eastAsia" w:ascii="仿宋_GB2312" w:hAnsi="仿宋_GB2312" w:eastAsia="仿宋_GB2312" w:cs="仿宋_GB2312"/>
          <w:sz w:val="32"/>
          <w:szCs w:val="32"/>
          <w:highlight w:val="none"/>
          <w:lang w:eastAsia="zh-CN"/>
        </w:rPr>
        <w:t>严格按照时间节点完成资金发放，确保职工能够及时收到福利经费</w:t>
      </w:r>
      <w:r>
        <w:rPr>
          <w:rFonts w:hint="eastAsia" w:ascii="仿宋_GB2312" w:hAnsi="仿宋_GB2312" w:eastAsia="仿宋_GB2312" w:cs="仿宋_GB2312"/>
          <w:sz w:val="32"/>
          <w:szCs w:val="32"/>
          <w:highlight w:val="none"/>
          <w:lang w:val="en-US" w:eastAsia="zh-CN"/>
        </w:rPr>
        <w:t>和使用</w:t>
      </w:r>
      <w:r>
        <w:rPr>
          <w:rFonts w:hint="eastAsia" w:ascii="仿宋_GB2312" w:hAnsi="仿宋_GB2312" w:eastAsia="仿宋_GB2312" w:cs="仿宋_GB2312"/>
          <w:sz w:val="32"/>
          <w:szCs w:val="32"/>
          <w:highlight w:val="none"/>
          <w:lang w:eastAsia="zh-CN"/>
        </w:rPr>
        <w:t>，体现了工会工作的高效性和及时性。</w:t>
      </w:r>
    </w:p>
    <w:p w14:paraId="184D586C">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④成本</w:t>
      </w:r>
      <w:r>
        <w:rPr>
          <w:rFonts w:hint="eastAsia" w:ascii="仿宋_GB2312" w:hAnsi="仿宋_GB2312" w:eastAsia="仿宋_GB2312" w:cs="仿宋_GB2312"/>
          <w:sz w:val="32"/>
          <w:szCs w:val="32"/>
          <w:highlight w:val="none"/>
        </w:rPr>
        <w:t>指标：</w:t>
      </w:r>
    </w:p>
    <w:p w14:paraId="3605D0E9">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指标1：</w:t>
      </w:r>
      <w:r>
        <w:rPr>
          <w:rFonts w:hint="eastAsia" w:ascii="仿宋_GB2312" w:hAnsi="仿宋_GB2312" w:eastAsia="仿宋_GB2312" w:cs="仿宋_GB2312"/>
          <w:sz w:val="32"/>
          <w:szCs w:val="32"/>
          <w:highlight w:val="none"/>
          <w:lang w:val="en-US" w:eastAsia="zh-CN"/>
        </w:rPr>
        <w:t>资金拨付标准（元/人/年）</w:t>
      </w:r>
      <w:r>
        <w:rPr>
          <w:rFonts w:hint="eastAsia" w:ascii="仿宋_GB2312" w:hAnsi="仿宋_GB2312" w:eastAsia="仿宋_GB2312" w:cs="仿宋_GB2312"/>
          <w:sz w:val="32"/>
          <w:szCs w:val="32"/>
          <w:highlight w:val="none"/>
        </w:rPr>
        <w:t>，指标值：</w:t>
      </w:r>
      <w:r>
        <w:rPr>
          <w:rFonts w:hint="eastAsia" w:ascii="仿宋_GB2312" w:hAnsi="仿宋_GB2312" w:eastAsia="仿宋_GB2312" w:cs="仿宋_GB2312"/>
          <w:sz w:val="32"/>
          <w:szCs w:val="32"/>
          <w:highlight w:val="none"/>
          <w:lang w:val="en-US" w:eastAsia="zh-CN"/>
        </w:rPr>
        <w:t>≤700元/人/年</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sz w:val="32"/>
          <w:szCs w:val="32"/>
          <w:highlight w:val="none"/>
          <w:lang w:val="en-US" w:eastAsia="zh-CN"/>
        </w:rPr>
        <w:t>700元/人/年</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。严格控制资金使用标准，确保每一分钱都用在刀刃上，既保障了职工福利，又实现了成本控制目标。</w:t>
      </w:r>
    </w:p>
    <w:p w14:paraId="4C85570C">
      <w:pPr>
        <w:pStyle w:val="12"/>
        <w:numPr>
          <w:ilvl w:val="0"/>
          <w:numId w:val="4"/>
        </w:numPr>
        <w:spacing w:line="560" w:lineRule="exact"/>
        <w:ind w:firstLine="643"/>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项目效益情况</w:t>
      </w:r>
    </w:p>
    <w:p w14:paraId="27CF39E8">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项目效益类指标包括项目实施效益和满意度两方面的内容，由2个三级指标构成，权重分为20分，实际得分20分，得分率为100%。具体效益指标及满意度指标完成情况如下：</w:t>
      </w:r>
    </w:p>
    <w:p w14:paraId="1E2DAD4F">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①社会效益</w:t>
      </w:r>
      <w:r>
        <w:rPr>
          <w:rFonts w:hint="eastAsia" w:ascii="仿宋_GB2312" w:hAnsi="仿宋_GB2312" w:eastAsia="仿宋_GB2312" w:cs="仿宋_GB2312"/>
          <w:sz w:val="32"/>
          <w:szCs w:val="32"/>
          <w:highlight w:val="none"/>
        </w:rPr>
        <w:t>指标：</w:t>
      </w:r>
    </w:p>
    <w:p w14:paraId="0E601E7F">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指标1：</w:t>
      </w:r>
      <w:r>
        <w:rPr>
          <w:rFonts w:hint="eastAsia" w:ascii="仿宋_GB2312" w:hAnsi="仿宋_GB2312" w:eastAsia="仿宋_GB2312" w:cs="仿宋_GB2312"/>
          <w:sz w:val="32"/>
          <w:szCs w:val="32"/>
          <w:highlight w:val="none"/>
          <w:lang w:val="en-US" w:eastAsia="zh-CN"/>
        </w:rPr>
        <w:t>提高职工生活水平</w:t>
      </w:r>
      <w:r>
        <w:rPr>
          <w:rFonts w:hint="eastAsia" w:ascii="仿宋_GB2312" w:hAnsi="仿宋_GB2312" w:eastAsia="仿宋_GB2312" w:cs="仿宋_GB2312"/>
          <w:sz w:val="32"/>
          <w:szCs w:val="32"/>
          <w:highlight w:val="none"/>
        </w:rPr>
        <w:t>，指标值：</w:t>
      </w:r>
      <w:r>
        <w:rPr>
          <w:rFonts w:hint="eastAsia" w:ascii="仿宋_GB2312" w:hAnsi="仿宋_GB2312" w:eastAsia="仿宋_GB2312" w:cs="仿宋_GB2312"/>
          <w:sz w:val="32"/>
          <w:szCs w:val="32"/>
          <w:highlight w:val="none"/>
          <w:lang w:val="en-US" w:eastAsia="zh-CN"/>
        </w:rPr>
        <w:t>有效提高</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sz w:val="32"/>
          <w:szCs w:val="32"/>
          <w:highlight w:val="none"/>
          <w:lang w:val="en-US" w:eastAsia="zh-CN"/>
        </w:rPr>
        <w:t>完全达到预期</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。通过实施福利经费发放，切实改善了非在编职工的生活质量，增强了职工的获得感和幸福感，促进了职工队伍的稳定和谐。</w:t>
      </w:r>
    </w:p>
    <w:p w14:paraId="090F1850">
      <w:pPr>
        <w:shd w:val="clear"/>
        <w:spacing w:line="600" w:lineRule="exact"/>
        <w:ind w:firstLine="420" w:firstLineChars="200"/>
        <w:outlineLvl w:val="0"/>
        <w:rPr>
          <w:rFonts w:hint="eastAsia" w:ascii="仿宋_GB2312" w:hAnsi="仿宋_GB2312" w:eastAsia="仿宋_GB2312" w:cs="仿宋_GB2312"/>
          <w:sz w:val="32"/>
          <w:szCs w:val="32"/>
          <w:highlight w:val="none"/>
          <w:lang w:eastAsia="zh-CN"/>
        </w:rPr>
      </w:pPr>
      <w:r>
        <w:rPr>
          <w:rFonts w:hint="eastAsia"/>
          <w:lang w:val="en-US" w:eastAsia="zh-CN"/>
        </w:rPr>
        <w:t xml:space="preserve">  </w:t>
      </w:r>
      <w:r>
        <w:rPr>
          <w:rFonts w:hint="default" w:ascii="仿宋_GB2312" w:hAnsi="仿宋_GB2312" w:eastAsia="仿宋_GB2312" w:cs="仿宋_GB2312"/>
          <w:sz w:val="32"/>
          <w:szCs w:val="32"/>
          <w:highlight w:val="none"/>
          <w:lang w:val="en-US" w:eastAsia="zh-CN"/>
        </w:rPr>
        <w:t>②</w:t>
      </w:r>
      <w:r>
        <w:rPr>
          <w:rFonts w:hint="eastAsia" w:ascii="仿宋_GB2312" w:hAnsi="仿宋_GB2312" w:eastAsia="仿宋_GB2312" w:cs="仿宋_GB2312"/>
          <w:sz w:val="32"/>
          <w:szCs w:val="32"/>
          <w:highlight w:val="none"/>
          <w:lang w:val="en-US" w:eastAsia="zh-CN"/>
        </w:rPr>
        <w:t>满</w:t>
      </w:r>
      <w:r>
        <w:rPr>
          <w:rFonts w:hint="eastAsia" w:ascii="仿宋_GB2312" w:hAnsi="仿宋_GB2312" w:eastAsia="仿宋_GB2312" w:cs="仿宋_GB2312"/>
          <w:sz w:val="32"/>
          <w:szCs w:val="32"/>
          <w:highlight w:val="none"/>
          <w:lang w:eastAsia="zh-CN"/>
        </w:rPr>
        <w:t>意度指标：</w:t>
      </w:r>
    </w:p>
    <w:p w14:paraId="2AC9B942">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指标1：</w:t>
      </w:r>
      <w:r>
        <w:rPr>
          <w:rFonts w:hint="eastAsia" w:ascii="仿宋_GB2312" w:hAnsi="仿宋_GB2312" w:eastAsia="仿宋_GB2312" w:cs="仿宋_GB2312"/>
          <w:sz w:val="32"/>
          <w:szCs w:val="32"/>
          <w:highlight w:val="none"/>
          <w:lang w:val="en-US" w:eastAsia="zh-CN"/>
        </w:rPr>
        <w:t>受益会员满意度</w:t>
      </w:r>
      <w:r>
        <w:rPr>
          <w:rFonts w:hint="eastAsia" w:ascii="仿宋_GB2312" w:hAnsi="仿宋_GB2312" w:eastAsia="仿宋_GB2312" w:cs="仿宋_GB2312"/>
          <w:sz w:val="32"/>
          <w:szCs w:val="32"/>
          <w:highlight w:val="none"/>
        </w:rPr>
        <w:t>，指标值：</w:t>
      </w:r>
      <w:r>
        <w:rPr>
          <w:rFonts w:hint="eastAsia" w:ascii="仿宋_GB2312" w:hAnsi="仿宋_GB2312" w:eastAsia="仿宋_GB2312" w:cs="仿宋_GB2312"/>
          <w:sz w:val="32"/>
          <w:szCs w:val="32"/>
          <w:highlight w:val="none"/>
          <w:lang w:val="en-US" w:eastAsia="zh-CN"/>
        </w:rPr>
        <w:t>≥95%</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sz w:val="32"/>
          <w:szCs w:val="32"/>
          <w:highlight w:val="none"/>
          <w:lang w:val="en-US" w:eastAsia="zh-CN"/>
        </w:rPr>
        <w:t>95%</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。通过</w:t>
      </w:r>
      <w:r>
        <w:rPr>
          <w:rFonts w:hint="eastAsia" w:ascii="仿宋_GB2312" w:hAnsi="仿宋_GB2312" w:eastAsia="仿宋_GB2312" w:cs="仿宋_GB2312"/>
          <w:sz w:val="32"/>
          <w:szCs w:val="32"/>
          <w:highlight w:val="none"/>
          <w:lang w:val="en-US" w:eastAsia="zh-CN"/>
        </w:rPr>
        <w:t>走访</w:t>
      </w:r>
      <w:r>
        <w:rPr>
          <w:rFonts w:hint="eastAsia" w:ascii="仿宋_GB2312" w:hAnsi="仿宋_GB2312" w:eastAsia="仿宋_GB2312" w:cs="仿宋_GB2312"/>
          <w:sz w:val="32"/>
          <w:szCs w:val="32"/>
          <w:highlight w:val="none"/>
          <w:lang w:eastAsia="zh-CN"/>
        </w:rPr>
        <w:t>调查和意见征集，95%以上的职工对福利经费发放工作表示满意，认为发放过程公开透明、标准合理、发放及时，充分体现了工会组织的关怀。</w:t>
      </w:r>
    </w:p>
    <w:p w14:paraId="2707041E">
      <w:pPr>
        <w:shd w:val="clear"/>
        <w:spacing w:line="600" w:lineRule="exact"/>
        <w:ind w:firstLine="643" w:firstLineChars="200"/>
        <w:outlineLvl w:val="0"/>
        <w:rPr>
          <w:rFonts w:hint="default" w:ascii="Times New Roman" w:hAnsi="Times New Roman" w:eastAsia="楷体_GB2312" w:cs="Times New Roman"/>
          <w:b/>
          <w:bCs/>
          <w:sz w:val="32"/>
          <w:szCs w:val="32"/>
          <w:lang w:val="en-US" w:eastAsia="zh-Hans"/>
        </w:rPr>
      </w:pPr>
      <w:r>
        <w:rPr>
          <w:rFonts w:hint="default" w:ascii="Times New Roman" w:hAnsi="Times New Roman" w:eastAsia="楷体_GB2312" w:cs="Times New Roman"/>
          <w:b/>
          <w:bCs/>
          <w:sz w:val="32"/>
          <w:szCs w:val="32"/>
          <w:lang w:val="en-US" w:eastAsia="zh-CN"/>
        </w:rPr>
        <w:t>（五）</w:t>
      </w:r>
      <w:r>
        <w:rPr>
          <w:rFonts w:hint="default" w:ascii="Times New Roman" w:hAnsi="Times New Roman" w:eastAsia="楷体_GB2312" w:cs="Times New Roman"/>
          <w:b/>
          <w:bCs/>
          <w:sz w:val="32"/>
          <w:szCs w:val="32"/>
          <w:lang w:val="en-US" w:eastAsia="zh-Hans"/>
        </w:rPr>
        <w:t>预算执行进度与绩效指标总体完成率偏差</w:t>
      </w:r>
    </w:p>
    <w:p w14:paraId="65D080E7">
      <w:pPr>
        <w:pStyle w:val="19"/>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2024年本级追加，达党财纪字〔2024〕1号（21），追加机关工委机关工会联合会经费</w:t>
      </w:r>
      <w:r>
        <w:rPr>
          <w:rFonts w:hint="default" w:ascii="Times New Roman" w:hAnsi="Times New Roman" w:eastAsia="仿宋_GB2312" w:cs="Times New Roman"/>
          <w:sz w:val="32"/>
          <w:szCs w:val="32"/>
          <w:highlight w:val="none"/>
        </w:rPr>
        <w:t>项目年初预算</w:t>
      </w:r>
      <w:r>
        <w:rPr>
          <w:rFonts w:hint="default" w:ascii="Times New Roman" w:hAnsi="Times New Roman" w:eastAsia="仿宋_GB2312" w:cs="Times New Roman"/>
          <w:sz w:val="32"/>
          <w:szCs w:val="32"/>
          <w:highlight w:val="none"/>
          <w:lang w:val="en-US" w:eastAsia="zh-CN"/>
        </w:rPr>
        <w:t>33.39</w:t>
      </w:r>
      <w:r>
        <w:rPr>
          <w:rFonts w:hint="default" w:ascii="Times New Roman" w:hAnsi="Times New Roman" w:eastAsia="仿宋_GB2312" w:cs="Times New Roman"/>
          <w:sz w:val="32"/>
          <w:szCs w:val="32"/>
          <w:highlight w:val="none"/>
        </w:rPr>
        <w:t>万元，全年预算</w:t>
      </w:r>
      <w:r>
        <w:rPr>
          <w:rFonts w:hint="default" w:ascii="Times New Roman" w:hAnsi="Times New Roman" w:eastAsia="仿宋_GB2312" w:cs="Times New Roman"/>
          <w:sz w:val="32"/>
          <w:szCs w:val="32"/>
          <w:highlight w:val="none"/>
          <w:lang w:val="en-US" w:eastAsia="zh-CN"/>
        </w:rPr>
        <w:t>33.39</w:t>
      </w:r>
      <w:r>
        <w:rPr>
          <w:rFonts w:hint="default" w:ascii="Times New Roman" w:hAnsi="Times New Roman" w:eastAsia="仿宋_GB2312" w:cs="Times New Roman"/>
          <w:sz w:val="32"/>
          <w:szCs w:val="32"/>
          <w:highlight w:val="none"/>
        </w:rPr>
        <w:t>万元，实际支出</w:t>
      </w:r>
      <w:r>
        <w:rPr>
          <w:rFonts w:hint="default" w:ascii="Times New Roman" w:hAnsi="Times New Roman" w:eastAsia="仿宋_GB2312" w:cs="Times New Roman"/>
          <w:sz w:val="32"/>
          <w:szCs w:val="32"/>
          <w:highlight w:val="none"/>
          <w:lang w:val="en-US" w:eastAsia="zh-CN"/>
        </w:rPr>
        <w:t>33.39</w:t>
      </w:r>
      <w:r>
        <w:rPr>
          <w:rFonts w:hint="default" w:ascii="Times New Roman" w:hAnsi="Times New Roman" w:eastAsia="仿宋_GB2312" w:cs="Times New Roman"/>
          <w:sz w:val="32"/>
          <w:szCs w:val="32"/>
          <w:highlight w:val="none"/>
        </w:rPr>
        <w:t>万元，预算执行率为</w:t>
      </w:r>
      <w:r>
        <w:rPr>
          <w:rFonts w:hint="default" w:ascii="Times New Roman" w:hAnsi="Times New Roman"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%，项目绩效指标总体完成率为</w:t>
      </w:r>
      <w:r>
        <w:rPr>
          <w:rFonts w:hint="default" w:ascii="Times New Roman" w:hAnsi="Times New Roman" w:eastAsia="仿宋_GB2312" w:cs="Times New Roman"/>
          <w:sz w:val="32"/>
          <w:szCs w:val="32"/>
          <w:highlight w:val="none"/>
          <w:lang w:val="en-US" w:eastAsia="zh-CN"/>
        </w:rPr>
        <w:t>10</w:t>
      </w:r>
      <w:r>
        <w:rPr>
          <w:rFonts w:hint="eastAsia" w:eastAsia="仿宋_GB2312" w:cs="Times New Roman"/>
          <w:sz w:val="32"/>
          <w:szCs w:val="32"/>
          <w:highlight w:val="none"/>
          <w:lang w:val="en-US" w:eastAsia="zh-CN"/>
        </w:rPr>
        <w:t>1.4</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Hans"/>
        </w:rPr>
        <w:t>总体</w:t>
      </w:r>
      <w:r>
        <w:rPr>
          <w:rFonts w:hint="default" w:ascii="Times New Roman" w:hAnsi="Times New Roman" w:eastAsia="仿宋_GB2312" w:cs="Times New Roman"/>
          <w:sz w:val="32"/>
          <w:szCs w:val="32"/>
          <w:highlight w:val="none"/>
        </w:rPr>
        <w:t>偏差率为</w:t>
      </w:r>
      <w:r>
        <w:rPr>
          <w:rFonts w:hint="eastAsia" w:eastAsia="仿宋_GB2312" w:cs="Times New Roman"/>
          <w:sz w:val="32"/>
          <w:szCs w:val="32"/>
          <w:highlight w:val="none"/>
          <w:lang w:val="en-US" w:eastAsia="zh-CN"/>
        </w:rPr>
        <w:t>1.4</w:t>
      </w:r>
      <w:r>
        <w:rPr>
          <w:rFonts w:hint="default" w:ascii="Times New Roman" w:hAnsi="Times New Roman" w:eastAsia="仿宋_GB2312" w:cs="Times New Roman"/>
          <w:sz w:val="32"/>
          <w:szCs w:val="32"/>
          <w:highlight w:val="none"/>
        </w:rPr>
        <w:t>%。</w:t>
      </w:r>
    </w:p>
    <w:p w14:paraId="4A8074F5">
      <w:pPr>
        <w:spacing w:line="560" w:lineRule="exact"/>
        <w:ind w:firstLine="640" w:firstLineChars="200"/>
        <w:rPr>
          <w:rStyle w:val="18"/>
          <w:rFonts w:hint="default" w:ascii="Times New Roman" w:hAnsi="Times New Roman" w:cs="Times New Roman"/>
          <w:color w:val="auto"/>
        </w:rPr>
      </w:pPr>
      <w:r>
        <w:rPr>
          <w:rFonts w:hint="eastAsia" w:eastAsia="黑体" w:cs="Times New Roman"/>
          <w:sz w:val="32"/>
          <w:szCs w:val="32"/>
          <w:lang w:val="en-US" w:eastAsia="zh-CN"/>
        </w:rPr>
        <w:t>五、</w:t>
      </w:r>
      <w:r>
        <w:rPr>
          <w:rFonts w:hint="default" w:ascii="Times New Roman" w:hAnsi="Times New Roman" w:eastAsia="黑体" w:cs="Times New Roman"/>
          <w:sz w:val="32"/>
          <w:szCs w:val="32"/>
        </w:rPr>
        <w:t>主要经验及做法、存在的问题及原因分析</w:t>
      </w:r>
    </w:p>
    <w:p w14:paraId="71ADAB86">
      <w:pPr>
        <w:spacing w:line="560" w:lineRule="exact"/>
        <w:ind w:firstLine="627" w:firstLineChars="200"/>
        <w:rPr>
          <w:rFonts w:hint="default" w:ascii="Times New Roman" w:hAnsi="Times New Roman" w:eastAsia="楷体" w:cs="Times New Roman"/>
          <w:b/>
          <w:spacing w:val="-4"/>
          <w:sz w:val="32"/>
          <w:szCs w:val="32"/>
        </w:rPr>
      </w:pPr>
      <w:r>
        <w:rPr>
          <w:rFonts w:hint="default" w:ascii="Times New Roman" w:hAnsi="Times New Roman" w:eastAsia="楷体" w:cs="Times New Roman"/>
          <w:b/>
          <w:spacing w:val="-4"/>
          <w:sz w:val="32"/>
          <w:szCs w:val="32"/>
        </w:rPr>
        <w:t>（一）主要经验及做法</w:t>
      </w:r>
    </w:p>
    <w:p w14:paraId="413BDBC7">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709D952B">
      <w:pPr>
        <w:pStyle w:val="10"/>
        <w:spacing w:before="0" w:after="0" w:line="560" w:lineRule="exact"/>
        <w:ind w:firstLine="640" w:firstLineChars="200"/>
        <w:jc w:val="left"/>
        <w:rPr>
          <w:rFonts w:hint="default" w:ascii="Times New Roman" w:hAnsi="Times New Roman" w:eastAsia="仿宋_GB2312" w:cs="Times New Roman"/>
          <w:b w:val="0"/>
          <w:bCs w:val="0"/>
          <w:kern w:val="2"/>
        </w:rPr>
      </w:pPr>
      <w:r>
        <w:rPr>
          <w:rFonts w:hint="default" w:ascii="Times New Roman" w:hAnsi="Times New Roman" w:eastAsia="仿宋_GB2312" w:cs="Times New Roman"/>
          <w:b w:val="0"/>
          <w:bCs w:val="0"/>
          <w:kern w:val="2"/>
        </w:rPr>
        <w:t>严格坚持先做事、后验收、再拨付的原则，</w:t>
      </w:r>
      <w:r>
        <w:rPr>
          <w:rFonts w:hint="eastAsia" w:ascii="Times New Roman" w:hAnsi="Times New Roman" w:eastAsia="仿宋_GB2312" w:cs="Times New Roman"/>
          <w:b w:val="0"/>
          <w:bCs w:val="0"/>
          <w:kern w:val="2"/>
          <w:lang w:eastAsia="zh-CN"/>
        </w:rPr>
        <w:t>杜绝</w:t>
      </w:r>
      <w:r>
        <w:rPr>
          <w:rFonts w:hint="default" w:ascii="Times New Roman" w:hAnsi="Times New Roman" w:eastAsia="仿宋_GB2312" w:cs="Times New Roman"/>
          <w:b w:val="0"/>
          <w:bCs w:val="0"/>
          <w:kern w:val="2"/>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473AB438">
      <w:pPr>
        <w:keepNext/>
        <w:keepLines/>
        <w:numPr>
          <w:ilvl w:val="0"/>
          <w:numId w:val="5"/>
        </w:num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存在的问题及原因分析</w:t>
      </w:r>
    </w:p>
    <w:p w14:paraId="5821D322">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14:paraId="37800061">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2.因轮岗、调动</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因素使我单位绩效工作人员流动频繁，</w:t>
      </w:r>
      <w:r>
        <w:rPr>
          <w:rFonts w:hint="eastAsia" w:ascii="Times New Roman" w:hAnsi="Times New Roman" w:eastAsia="仿宋_GB2312" w:cs="Times New Roman"/>
          <w:sz w:val="32"/>
          <w:szCs w:val="32"/>
          <w:highlight w:val="none"/>
          <w:lang w:val="en-US" w:eastAsia="zh-CN"/>
        </w:rPr>
        <w:t>造成</w:t>
      </w:r>
      <w:r>
        <w:rPr>
          <w:rFonts w:hint="default" w:ascii="Times New Roman" w:hAnsi="Times New Roman" w:eastAsia="仿宋_GB2312" w:cs="Times New Roman"/>
          <w:sz w:val="32"/>
          <w:szCs w:val="32"/>
          <w:highlight w:val="none"/>
          <w:lang w:val="en-US" w:eastAsia="zh-CN"/>
        </w:rPr>
        <w:t>工作衔接不到位的情况。</w:t>
      </w:r>
    </w:p>
    <w:p w14:paraId="26055FAC">
      <w:pPr>
        <w:spacing w:line="560" w:lineRule="exact"/>
        <w:ind w:firstLine="640" w:firstLineChars="200"/>
        <w:rPr>
          <w:rFonts w:hint="default" w:ascii="Times New Roman" w:hAnsi="Times New Roman" w:eastAsia="黑体" w:cs="Times New Roman"/>
          <w:sz w:val="32"/>
          <w:szCs w:val="32"/>
        </w:rPr>
      </w:pPr>
      <w:r>
        <w:rPr>
          <w:rFonts w:hint="eastAsia" w:eastAsia="黑体" w:cs="Times New Roman"/>
          <w:sz w:val="32"/>
          <w:szCs w:val="32"/>
          <w:lang w:val="en-US" w:eastAsia="zh-CN"/>
        </w:rPr>
        <w:t>六、</w:t>
      </w:r>
      <w:r>
        <w:rPr>
          <w:rFonts w:hint="default" w:ascii="Times New Roman" w:hAnsi="Times New Roman" w:eastAsia="黑体" w:cs="Times New Roman"/>
          <w:sz w:val="32"/>
          <w:szCs w:val="32"/>
        </w:rPr>
        <w:t>有关建议</w:t>
      </w:r>
    </w:p>
    <w:p w14:paraId="5452B6CB">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1.多进行有关绩效管理工作方面的培训。积极组织第三方开展绩效管理工作培训，进一步夯实业务基础，提高我单位绩效人员水平。</w:t>
      </w:r>
    </w:p>
    <w:p w14:paraId="4DC29A93">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2.专门设定对绩效工作人员定职、定岗、定责等相关制度措施，进一步提升我单位绩效管理工作业务水平，扎实做好绩效管理工作。</w:t>
      </w:r>
    </w:p>
    <w:p w14:paraId="293D67A6">
      <w:pPr>
        <w:spacing w:line="560" w:lineRule="exact"/>
        <w:ind w:firstLine="640" w:firstLineChars="200"/>
        <w:rPr>
          <w:rFonts w:hint="default" w:ascii="Times New Roman" w:hAnsi="Times New Roman" w:eastAsia="黑体" w:cs="Times New Roman"/>
          <w:sz w:val="32"/>
          <w:szCs w:val="32"/>
        </w:rPr>
      </w:pPr>
      <w:r>
        <w:rPr>
          <w:rFonts w:hint="eastAsia" w:eastAsia="黑体" w:cs="Times New Roman"/>
          <w:sz w:val="32"/>
          <w:szCs w:val="32"/>
          <w:lang w:val="en-US" w:eastAsia="zh-CN"/>
        </w:rPr>
        <w:t>七、</w:t>
      </w:r>
      <w:r>
        <w:rPr>
          <w:rFonts w:hint="default" w:ascii="Times New Roman" w:hAnsi="Times New Roman" w:eastAsia="黑体" w:cs="Times New Roman"/>
          <w:sz w:val="32"/>
          <w:szCs w:val="32"/>
        </w:rPr>
        <w:t>其他需要说</w:t>
      </w:r>
      <w:bookmarkStart w:id="9" w:name="page8"/>
      <w:bookmarkEnd w:id="9"/>
      <w:r>
        <w:rPr>
          <w:rFonts w:hint="default" w:ascii="Times New Roman" w:hAnsi="Times New Roman" w:eastAsia="黑体" w:cs="Times New Roman"/>
          <w:sz w:val="32"/>
          <w:szCs w:val="32"/>
        </w:rPr>
        <w:t>明的问题</w:t>
      </w:r>
    </w:p>
    <w:p w14:paraId="362FFECB">
      <w:pPr>
        <w:pStyle w:val="13"/>
        <w:spacing w:after="0" w:line="560" w:lineRule="exact"/>
        <w:ind w:left="0" w:leftChars="0" w:firstLine="640"/>
        <w:rPr>
          <w:rFonts w:hint="default" w:ascii="Times New Roman" w:hAnsi="Times New Roman" w:eastAsia="仿宋_GB2312" w:cs="Times New Roman"/>
          <w:sz w:val="32"/>
          <w:szCs w:val="32"/>
          <w:highlight w:val="none"/>
          <w:lang w:eastAsia="zh-Hans"/>
        </w:rPr>
      </w:pPr>
      <w:r>
        <w:rPr>
          <w:rFonts w:hint="default" w:ascii="Times New Roman" w:hAnsi="Times New Roman" w:eastAsia="仿宋_GB2312" w:cs="Times New Roman"/>
          <w:sz w:val="32"/>
          <w:szCs w:val="32"/>
          <w:highlight w:val="none"/>
          <w:lang w:eastAsia="zh-Hans"/>
        </w:rPr>
        <w:t>项目支出的政策和路径设置比较科学，项目的申报和审核机制完善。</w:t>
      </w:r>
    </w:p>
    <w:p w14:paraId="2B0DFF34">
      <w:pPr>
        <w:pStyle w:val="13"/>
        <w:spacing w:after="0" w:line="560" w:lineRule="exact"/>
        <w:ind w:left="0" w:leftChars="0" w:firstLine="0" w:firstLineChars="0"/>
        <w:rPr>
          <w:rFonts w:hint="eastAsia" w:ascii="Times New Roman" w:hAnsi="Times New Roman" w:eastAsia="仿宋_GB2312" w:cs="Times New Roman"/>
          <w:sz w:val="32"/>
          <w:szCs w:val="32"/>
          <w:lang w:eastAsia="zh-CN"/>
        </w:rPr>
      </w:pPr>
    </w:p>
    <w:p w14:paraId="079F198D">
      <w:pPr>
        <w:pStyle w:val="13"/>
        <w:spacing w:after="0" w:line="560" w:lineRule="exact"/>
        <w:ind w:left="0" w:leftChars="0" w:firstLine="643" w:firstLineChars="200"/>
        <w:rPr>
          <w:rFonts w:hint="eastAsia" w:ascii="Times New Roman" w:hAnsi="Times New Roman" w:eastAsia="仿宋_GB2312" w:cs="Times New Roman"/>
          <w:b/>
          <w:bCs/>
          <w:color w:val="FF0000"/>
          <w:sz w:val="32"/>
          <w:szCs w:val="32"/>
          <w:lang w:eastAsia="zh-CN"/>
        </w:rPr>
      </w:pPr>
    </w:p>
    <w:p w14:paraId="678D17A4">
      <w:pPr>
        <w:spacing w:line="600" w:lineRule="exact"/>
        <w:rPr>
          <w:rFonts w:hint="eastAsia" w:ascii="Times New Roman" w:hAnsi="Times New Roman" w:eastAsia="黑体" w:cs="Times New Roman"/>
          <w:sz w:val="32"/>
          <w:szCs w:val="32"/>
          <w:lang w:val="en-US" w:eastAsia="zh-CN"/>
        </w:rPr>
        <w:sectPr>
          <w:footerReference r:id="rId3" w:type="default"/>
          <w:pgSz w:w="11906" w:h="16838"/>
          <w:pgMar w:top="1440" w:right="1558" w:bottom="1440" w:left="1800" w:header="851" w:footer="992" w:gutter="0"/>
          <w:pgNumType w:start="1"/>
          <w:cols w:space="425" w:num="1"/>
          <w:docGrid w:type="lines" w:linePitch="312" w:charSpace="0"/>
        </w:sectPr>
      </w:pPr>
    </w:p>
    <w:p w14:paraId="46D0CC83">
      <w:pPr>
        <w:spacing w:line="600" w:lineRule="exact"/>
        <w:rPr>
          <w:rFonts w:hint="eastAsia" w:eastAsia="黑体" w:cs="Times New Roman"/>
          <w:sz w:val="32"/>
          <w:szCs w:val="32"/>
          <w:lang w:val="en-US" w:eastAsia="zh-CN"/>
        </w:rPr>
      </w:pPr>
      <w:r>
        <w:rPr>
          <w:rFonts w:hint="eastAsia" w:ascii="Times New Roman" w:hAnsi="Times New Roman" w:eastAsia="黑体" w:cs="Times New Roman"/>
          <w:sz w:val="32"/>
          <w:szCs w:val="32"/>
          <w:lang w:val="en-US" w:eastAsia="zh-CN"/>
        </w:rPr>
        <w:t>附件</w:t>
      </w:r>
      <w:r>
        <w:rPr>
          <w:rFonts w:hint="eastAsia" w:eastAsia="黑体" w:cs="Times New Roman"/>
          <w:sz w:val="32"/>
          <w:szCs w:val="32"/>
          <w:lang w:val="en-US" w:eastAsia="zh-CN"/>
        </w:rPr>
        <w:t>1</w:t>
      </w:r>
    </w:p>
    <w:p w14:paraId="1D9159B6">
      <w:pPr>
        <w:pStyle w:val="19"/>
        <w:ind w:firstLine="562"/>
        <w:jc w:val="center"/>
        <w:rPr>
          <w:rFonts w:hint="eastAsia" w:ascii="仿宋_GB2312" w:hAnsi="仿宋_GB2312" w:eastAsia="仿宋_GB2312" w:cs="仿宋_GB2312"/>
          <w:sz w:val="28"/>
          <w:szCs w:val="40"/>
        </w:rPr>
      </w:pPr>
      <w:bookmarkStart w:id="10" w:name="_Toc30064_WPSOffice_Level1"/>
      <w:bookmarkStart w:id="11" w:name="_Toc26499_WPSOffice_Level2"/>
      <w:r>
        <w:rPr>
          <w:rFonts w:hint="eastAsia" w:ascii="仿宋_GB2312" w:hAnsi="仿宋_GB2312" w:eastAsia="仿宋_GB2312" w:cs="仿宋_GB2312"/>
          <w:b/>
          <w:bCs/>
          <w:sz w:val="28"/>
          <w:szCs w:val="40"/>
          <w:lang w:val="en-US" w:eastAsia="zh-CN"/>
        </w:rPr>
        <w:t>2024年本级追加，达党财纪字〔2024〕1号（21），追加机关工委机关工会联合会经费</w:t>
      </w:r>
      <w:r>
        <w:rPr>
          <w:rFonts w:hint="eastAsia" w:ascii="仿宋_GB2312" w:hAnsi="仿宋_GB2312" w:eastAsia="仿宋_GB2312" w:cs="仿宋_GB2312"/>
          <w:b/>
          <w:bCs/>
          <w:sz w:val="28"/>
          <w:szCs w:val="40"/>
        </w:rPr>
        <w:t>绩效评价指标体系及综合评分表</w:t>
      </w:r>
      <w:bookmarkEnd w:id="10"/>
      <w:bookmarkEnd w:id="11"/>
    </w:p>
    <w:tbl>
      <w:tblPr>
        <w:tblStyle w:val="14"/>
        <w:tblW w:w="1268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02"/>
        <w:gridCol w:w="1000"/>
        <w:gridCol w:w="1071"/>
        <w:gridCol w:w="1725"/>
        <w:gridCol w:w="5216"/>
        <w:gridCol w:w="5"/>
        <w:gridCol w:w="1299"/>
        <w:gridCol w:w="1365"/>
      </w:tblGrid>
      <w:tr w14:paraId="5EDCC8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2" w:hRule="atLeast"/>
          <w:tblHeader/>
          <w:jc w:val="center"/>
        </w:trPr>
        <w:tc>
          <w:tcPr>
            <w:tcW w:w="1002" w:type="dxa"/>
            <w:shd w:val="clear" w:color="auto" w:fill="FFFFFF"/>
            <w:vAlign w:val="center"/>
          </w:tcPr>
          <w:p w14:paraId="57BD7A81">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一级指标</w:t>
            </w:r>
          </w:p>
        </w:tc>
        <w:tc>
          <w:tcPr>
            <w:tcW w:w="1000" w:type="dxa"/>
            <w:shd w:val="clear" w:color="auto" w:fill="FFFFFF"/>
            <w:vAlign w:val="center"/>
          </w:tcPr>
          <w:p w14:paraId="38FC3AEC">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二级指标</w:t>
            </w:r>
          </w:p>
        </w:tc>
        <w:tc>
          <w:tcPr>
            <w:tcW w:w="1071" w:type="dxa"/>
            <w:shd w:val="clear" w:color="auto" w:fill="FFFFFF"/>
            <w:vAlign w:val="center"/>
          </w:tcPr>
          <w:p w14:paraId="4BE32EEE">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三级指标</w:t>
            </w:r>
          </w:p>
        </w:tc>
        <w:tc>
          <w:tcPr>
            <w:tcW w:w="1725" w:type="dxa"/>
            <w:shd w:val="clear" w:color="auto" w:fill="FFFFFF"/>
            <w:vAlign w:val="center"/>
          </w:tcPr>
          <w:p w14:paraId="3CB41B4B">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指标解释</w:t>
            </w:r>
          </w:p>
        </w:tc>
        <w:tc>
          <w:tcPr>
            <w:tcW w:w="5216" w:type="dxa"/>
            <w:shd w:val="clear" w:color="auto" w:fill="FFFFFF"/>
            <w:vAlign w:val="center"/>
          </w:tcPr>
          <w:p w14:paraId="623C51BC">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指标说明</w:t>
            </w:r>
          </w:p>
        </w:tc>
        <w:tc>
          <w:tcPr>
            <w:tcW w:w="1304" w:type="dxa"/>
            <w:gridSpan w:val="2"/>
            <w:shd w:val="clear" w:color="auto" w:fill="FFFFFF"/>
            <w:vAlign w:val="center"/>
          </w:tcPr>
          <w:p w14:paraId="519E4259">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权重</w:t>
            </w:r>
          </w:p>
        </w:tc>
        <w:tc>
          <w:tcPr>
            <w:tcW w:w="1365" w:type="dxa"/>
            <w:shd w:val="clear" w:color="auto" w:fill="FFFFFF"/>
            <w:vAlign w:val="center"/>
          </w:tcPr>
          <w:p w14:paraId="58076FFF">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得分</w:t>
            </w:r>
          </w:p>
        </w:tc>
      </w:tr>
      <w:tr w14:paraId="015C3A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1002" w:type="dxa"/>
            <w:vMerge w:val="restart"/>
            <w:shd w:val="clear" w:color="auto" w:fill="FFFFFF"/>
            <w:vAlign w:val="center"/>
          </w:tcPr>
          <w:p w14:paraId="42C2D11F">
            <w:pPr>
              <w:widowControl/>
              <w:spacing w:line="0" w:lineRule="atLeast"/>
              <w:jc w:val="center"/>
              <w:rPr>
                <w:rFonts w:hint="default" w:ascii="Times New Roman" w:hAnsi="Times New Roman" w:eastAsia="仿宋_GB2312" w:cs="Times New Roman"/>
                <w:color w:val="000000"/>
                <w:kern w:val="0"/>
                <w:sz w:val="18"/>
                <w:szCs w:val="18"/>
              </w:rPr>
            </w:pPr>
          </w:p>
          <w:p w14:paraId="706BF4DA">
            <w:pPr>
              <w:widowControl/>
              <w:spacing w:line="0" w:lineRule="atLeast"/>
              <w:jc w:val="center"/>
              <w:rPr>
                <w:rFonts w:hint="default" w:ascii="Times New Roman" w:hAnsi="Times New Roman" w:eastAsia="仿宋_GB2312" w:cs="Times New Roman"/>
                <w:color w:val="000000"/>
                <w:kern w:val="0"/>
                <w:sz w:val="18"/>
                <w:szCs w:val="18"/>
              </w:rPr>
            </w:pPr>
          </w:p>
          <w:p w14:paraId="44427B29">
            <w:pPr>
              <w:widowControl/>
              <w:spacing w:line="0" w:lineRule="atLeast"/>
              <w:jc w:val="center"/>
              <w:rPr>
                <w:rFonts w:hint="default" w:ascii="Times New Roman" w:hAnsi="Times New Roman" w:eastAsia="仿宋_GB2312" w:cs="Times New Roman"/>
                <w:color w:val="000000"/>
                <w:kern w:val="0"/>
                <w:sz w:val="18"/>
                <w:szCs w:val="18"/>
              </w:rPr>
            </w:pPr>
          </w:p>
          <w:p w14:paraId="10EC562F">
            <w:pPr>
              <w:widowControl/>
              <w:spacing w:line="0" w:lineRule="atLeast"/>
              <w:jc w:val="center"/>
              <w:rPr>
                <w:rFonts w:hint="default" w:ascii="Times New Roman" w:hAnsi="Times New Roman" w:eastAsia="仿宋_GB2312" w:cs="Times New Roman"/>
                <w:color w:val="000000"/>
                <w:kern w:val="0"/>
                <w:sz w:val="18"/>
                <w:szCs w:val="18"/>
              </w:rPr>
            </w:pPr>
          </w:p>
          <w:p w14:paraId="5F672CCD">
            <w:pPr>
              <w:widowControl/>
              <w:spacing w:line="0" w:lineRule="atLeast"/>
              <w:jc w:val="center"/>
              <w:rPr>
                <w:rFonts w:hint="default" w:ascii="Times New Roman" w:hAnsi="Times New Roman" w:eastAsia="仿宋_GB2312" w:cs="Times New Roman"/>
                <w:color w:val="000000"/>
                <w:kern w:val="0"/>
                <w:sz w:val="18"/>
                <w:szCs w:val="18"/>
              </w:rPr>
            </w:pPr>
          </w:p>
          <w:p w14:paraId="34D55FA0">
            <w:pPr>
              <w:widowControl/>
              <w:spacing w:line="0" w:lineRule="atLeast"/>
              <w:jc w:val="center"/>
              <w:rPr>
                <w:rFonts w:hint="default" w:ascii="Times New Roman" w:hAnsi="Times New Roman" w:eastAsia="仿宋_GB2312" w:cs="Times New Roman"/>
                <w:color w:val="000000"/>
                <w:kern w:val="0"/>
                <w:sz w:val="18"/>
                <w:szCs w:val="18"/>
              </w:rPr>
            </w:pPr>
          </w:p>
          <w:p w14:paraId="4D6191BF">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决策　</w:t>
            </w:r>
          </w:p>
        </w:tc>
        <w:tc>
          <w:tcPr>
            <w:tcW w:w="1000" w:type="dxa"/>
            <w:vMerge w:val="restart"/>
            <w:shd w:val="clear" w:color="auto" w:fill="FFFFFF"/>
            <w:vAlign w:val="center"/>
          </w:tcPr>
          <w:p w14:paraId="2172F69E">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项目立项　</w:t>
            </w:r>
          </w:p>
        </w:tc>
        <w:tc>
          <w:tcPr>
            <w:tcW w:w="1071" w:type="dxa"/>
            <w:shd w:val="clear" w:color="auto" w:fill="FFFFFF"/>
            <w:vAlign w:val="center"/>
          </w:tcPr>
          <w:p w14:paraId="45F3D383">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立项依据</w:t>
            </w:r>
          </w:p>
          <w:p w14:paraId="51F827D5">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充分性</w:t>
            </w:r>
          </w:p>
        </w:tc>
        <w:tc>
          <w:tcPr>
            <w:tcW w:w="1725" w:type="dxa"/>
            <w:shd w:val="clear" w:color="auto" w:fill="FFFFFF"/>
            <w:vAlign w:val="center"/>
          </w:tcPr>
          <w:p w14:paraId="43685470">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项目立项是否符合法律法规、相关政策、发展规划以及部门职责，用以反映和考核项目立项依据情况。</w:t>
            </w:r>
          </w:p>
        </w:tc>
        <w:tc>
          <w:tcPr>
            <w:tcW w:w="5216" w:type="dxa"/>
            <w:shd w:val="clear" w:color="auto" w:fill="FFFFFF"/>
            <w:vAlign w:val="center"/>
          </w:tcPr>
          <w:p w14:paraId="0AA17429">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评价要点：</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①项目立项是否符合国家法律法规、国民经济发展规划和相关政策；</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②项目立项是否符合行业发展规划和政策要求；</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③项目立项是否与部门职责范围相符，属于部门履职所需；</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④项目是否属于公共财政支持范围，是否符合中央、地方事权支出责任划分原则；</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⑤项目是否与相关部门同类项目或部门内部相关项目重复。</w:t>
            </w:r>
          </w:p>
        </w:tc>
        <w:tc>
          <w:tcPr>
            <w:tcW w:w="1304" w:type="dxa"/>
            <w:gridSpan w:val="2"/>
            <w:shd w:val="clear" w:color="auto" w:fill="FFFFFF"/>
            <w:vAlign w:val="center"/>
          </w:tcPr>
          <w:p w14:paraId="25C144D8">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3</w:t>
            </w:r>
          </w:p>
        </w:tc>
        <w:tc>
          <w:tcPr>
            <w:tcW w:w="1365" w:type="dxa"/>
            <w:shd w:val="clear" w:color="auto" w:fill="FFFFFF"/>
            <w:vAlign w:val="center"/>
          </w:tcPr>
          <w:p w14:paraId="3D64A89D">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44FF26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2" w:type="dxa"/>
            <w:vMerge w:val="continue"/>
            <w:shd w:val="clear" w:color="auto" w:fill="FFFFFF"/>
            <w:vAlign w:val="center"/>
          </w:tcPr>
          <w:p w14:paraId="1E0F81B4">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5875C78A">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0867B001">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立项程序</w:t>
            </w:r>
          </w:p>
          <w:p w14:paraId="40B0C121">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规范性</w:t>
            </w:r>
          </w:p>
        </w:tc>
        <w:tc>
          <w:tcPr>
            <w:tcW w:w="1725" w:type="dxa"/>
            <w:shd w:val="clear" w:color="auto" w:fill="FFFFFF"/>
            <w:vAlign w:val="center"/>
          </w:tcPr>
          <w:p w14:paraId="020CCFD0">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项目申请、设立过程是否符合相关要求，用以反映和考核项目立项的规范情况。</w:t>
            </w:r>
          </w:p>
        </w:tc>
        <w:tc>
          <w:tcPr>
            <w:tcW w:w="5216" w:type="dxa"/>
            <w:shd w:val="clear" w:color="auto" w:fill="FFFFFF"/>
            <w:vAlign w:val="center"/>
          </w:tcPr>
          <w:p w14:paraId="37B5E4A9">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评价要点：</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①项目是否按照规定的程序申请设立；</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②审批文件、材料是否符合相关要求；</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③事前是否已经过必要的可行性研究、专家论证、风险评估、绩效评估、集体决策。</w:t>
            </w:r>
          </w:p>
        </w:tc>
        <w:tc>
          <w:tcPr>
            <w:tcW w:w="1304" w:type="dxa"/>
            <w:gridSpan w:val="2"/>
            <w:shd w:val="clear" w:color="auto" w:fill="FFFFFF"/>
            <w:vAlign w:val="center"/>
          </w:tcPr>
          <w:p w14:paraId="3FE04928">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3</w:t>
            </w:r>
          </w:p>
        </w:tc>
        <w:tc>
          <w:tcPr>
            <w:tcW w:w="1365" w:type="dxa"/>
            <w:shd w:val="clear" w:color="auto" w:fill="FFFFFF"/>
            <w:vAlign w:val="center"/>
          </w:tcPr>
          <w:p w14:paraId="0EB1575D">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3D7A4A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2" w:type="dxa"/>
            <w:vMerge w:val="continue"/>
            <w:shd w:val="clear" w:color="auto" w:fill="FFFFFF"/>
            <w:vAlign w:val="center"/>
          </w:tcPr>
          <w:p w14:paraId="615FD20E">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restart"/>
            <w:shd w:val="clear" w:color="auto" w:fill="FFFFFF"/>
            <w:vAlign w:val="center"/>
          </w:tcPr>
          <w:p w14:paraId="6C8D0104">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绩效目标　</w:t>
            </w:r>
          </w:p>
        </w:tc>
        <w:tc>
          <w:tcPr>
            <w:tcW w:w="1071" w:type="dxa"/>
            <w:shd w:val="clear" w:color="auto" w:fill="FFFFFF"/>
            <w:vAlign w:val="center"/>
          </w:tcPr>
          <w:p w14:paraId="1B264122">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绩效目标</w:t>
            </w:r>
          </w:p>
          <w:p w14:paraId="35EC82DF">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合理性</w:t>
            </w:r>
          </w:p>
        </w:tc>
        <w:tc>
          <w:tcPr>
            <w:tcW w:w="1725" w:type="dxa"/>
            <w:shd w:val="clear" w:color="000000" w:fill="FFFFFF"/>
            <w:vAlign w:val="center"/>
          </w:tcPr>
          <w:p w14:paraId="13891264">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项目所设定的绩效目标是否依据充分，是否符合客观实际，用以反映和考核项目绩效目标与项目实施的相符情况。</w:t>
            </w:r>
          </w:p>
        </w:tc>
        <w:tc>
          <w:tcPr>
            <w:tcW w:w="5216" w:type="dxa"/>
            <w:shd w:val="clear" w:color="000000" w:fill="FFFFFF"/>
            <w:vAlign w:val="center"/>
          </w:tcPr>
          <w:p w14:paraId="69B13E3B">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评价要点：</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（如未设定预算绩效目标，也可考核其他工作任务目标）</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①项目是否有绩效目标；</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②项目绩效目标与实际工作内容是否具有相关性；</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③项目预期产出效益和效果是否符合正常的业绩水平；</w:t>
            </w:r>
          </w:p>
          <w:p w14:paraId="0D23D6D2">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④是否与预算确定的项目投资额或资金量相匹配。</w:t>
            </w:r>
          </w:p>
        </w:tc>
        <w:tc>
          <w:tcPr>
            <w:tcW w:w="1304" w:type="dxa"/>
            <w:gridSpan w:val="2"/>
            <w:shd w:val="clear" w:color="000000" w:fill="FFFFFF"/>
            <w:vAlign w:val="center"/>
          </w:tcPr>
          <w:p w14:paraId="736AB7CD">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3</w:t>
            </w:r>
          </w:p>
        </w:tc>
        <w:tc>
          <w:tcPr>
            <w:tcW w:w="1365" w:type="dxa"/>
            <w:shd w:val="clear" w:color="000000" w:fill="FFFFFF"/>
            <w:vAlign w:val="center"/>
          </w:tcPr>
          <w:p w14:paraId="21822E0D">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eastAsia" w:eastAsia="仿宋_GB2312" w:cs="Times New Roman"/>
                <w:b/>
                <w:bCs/>
                <w:color w:val="000000"/>
                <w:kern w:val="0"/>
                <w:sz w:val="18"/>
                <w:szCs w:val="18"/>
                <w:highlight w:val="none"/>
                <w:lang w:val="en-US" w:eastAsia="zh-CN"/>
              </w:rPr>
              <w:t>3</w:t>
            </w:r>
          </w:p>
        </w:tc>
      </w:tr>
      <w:tr w14:paraId="52098A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1002" w:type="dxa"/>
            <w:vMerge w:val="continue"/>
            <w:shd w:val="clear" w:color="auto" w:fill="FFFFFF"/>
            <w:vAlign w:val="center"/>
          </w:tcPr>
          <w:p w14:paraId="2EBF363D">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0F5B1830">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773AC3E0">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绩效指标</w:t>
            </w:r>
          </w:p>
          <w:p w14:paraId="6006E126">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明确性</w:t>
            </w:r>
          </w:p>
        </w:tc>
        <w:tc>
          <w:tcPr>
            <w:tcW w:w="1725" w:type="dxa"/>
            <w:shd w:val="clear" w:color="000000" w:fill="FFFFFF"/>
            <w:vAlign w:val="center"/>
          </w:tcPr>
          <w:p w14:paraId="0003EB6B">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依据绩效目标设定的绩效指标是否清晰、细化、可衡量等，用以反映和考核项目绩效目标的明细化情况。</w:t>
            </w:r>
          </w:p>
        </w:tc>
        <w:tc>
          <w:tcPr>
            <w:tcW w:w="5216" w:type="dxa"/>
            <w:shd w:val="clear" w:color="000000" w:fill="FFFFFF"/>
            <w:vAlign w:val="center"/>
          </w:tcPr>
          <w:p w14:paraId="3F346B59">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评价要点：</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①是否将项目绩效目标细化分解为具体的绩效指标；</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②是否通过清晰、可衡量的指标值予以体现；</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③是否与项目目标任务数或计划数相对应。</w:t>
            </w:r>
            <w:r>
              <w:rPr>
                <w:rFonts w:hint="default" w:ascii="Times New Roman" w:hAnsi="Times New Roman" w:eastAsia="仿宋_GB2312" w:cs="Times New Roman"/>
                <w:color w:val="000000"/>
                <w:kern w:val="0"/>
                <w:sz w:val="18"/>
                <w:szCs w:val="18"/>
              </w:rPr>
              <w:br w:type="textWrapping"/>
            </w:r>
          </w:p>
        </w:tc>
        <w:tc>
          <w:tcPr>
            <w:tcW w:w="1304" w:type="dxa"/>
            <w:gridSpan w:val="2"/>
            <w:shd w:val="clear" w:color="000000" w:fill="FFFFFF"/>
            <w:vAlign w:val="center"/>
          </w:tcPr>
          <w:p w14:paraId="30AD10AC">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3</w:t>
            </w:r>
          </w:p>
        </w:tc>
        <w:tc>
          <w:tcPr>
            <w:tcW w:w="1365" w:type="dxa"/>
            <w:shd w:val="clear" w:color="000000" w:fill="FFFFFF"/>
            <w:vAlign w:val="center"/>
          </w:tcPr>
          <w:p w14:paraId="0E515E82">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749544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1002" w:type="dxa"/>
            <w:vMerge w:val="continue"/>
            <w:shd w:val="clear" w:color="auto" w:fill="FFFFFF"/>
            <w:vAlign w:val="center"/>
          </w:tcPr>
          <w:p w14:paraId="2C95850E">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restart"/>
            <w:shd w:val="clear" w:color="auto" w:fill="FFFFFF"/>
            <w:vAlign w:val="center"/>
          </w:tcPr>
          <w:p w14:paraId="7C559A3F">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资金投入</w:t>
            </w:r>
          </w:p>
          <w:p w14:paraId="1745B8F4">
            <w:pPr>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071" w:type="dxa"/>
            <w:shd w:val="clear" w:color="auto" w:fill="FFFFFF"/>
            <w:vAlign w:val="center"/>
          </w:tcPr>
          <w:p w14:paraId="50A755B4">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预算编制</w:t>
            </w:r>
          </w:p>
          <w:p w14:paraId="42CACDA0">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科学性</w:t>
            </w:r>
          </w:p>
        </w:tc>
        <w:tc>
          <w:tcPr>
            <w:tcW w:w="1725" w:type="dxa"/>
            <w:shd w:val="clear" w:color="auto" w:fill="FFFFFF"/>
            <w:vAlign w:val="center"/>
          </w:tcPr>
          <w:p w14:paraId="6E5C276C">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62214716">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评价要点：</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①预算编制是否经过科学论证；</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②预算内容与项目内容是否匹配；</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③预算额度测算依据是否充分，是否按照标准编制；</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④预算确定的项目投资额或资金量是否与工作任务相匹配。</w:t>
            </w:r>
          </w:p>
        </w:tc>
        <w:tc>
          <w:tcPr>
            <w:tcW w:w="1304" w:type="dxa"/>
            <w:gridSpan w:val="2"/>
            <w:shd w:val="clear" w:color="auto" w:fill="FFFFFF"/>
            <w:vAlign w:val="center"/>
          </w:tcPr>
          <w:p w14:paraId="6C028EFE">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5" w:type="dxa"/>
            <w:shd w:val="clear" w:color="auto" w:fill="FFFFFF"/>
            <w:vAlign w:val="center"/>
          </w:tcPr>
          <w:p w14:paraId="14EA8AC2">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7146DE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1002" w:type="dxa"/>
            <w:vMerge w:val="continue"/>
            <w:shd w:val="clear" w:color="auto" w:fill="FFFFFF"/>
            <w:vAlign w:val="center"/>
          </w:tcPr>
          <w:p w14:paraId="7032D194">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29A0CE8F">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39B3C3AA">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资金分配</w:t>
            </w:r>
          </w:p>
          <w:p w14:paraId="7D3ACC74">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合理性</w:t>
            </w:r>
          </w:p>
        </w:tc>
        <w:tc>
          <w:tcPr>
            <w:tcW w:w="1725" w:type="dxa"/>
            <w:shd w:val="clear" w:color="auto" w:fill="FFFFFF"/>
            <w:vAlign w:val="center"/>
          </w:tcPr>
          <w:p w14:paraId="0463DCAC">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0FE5E1CF">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评价要点：</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①预算资金分配依据是否充分；</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②资金分配额度是否合理，与项目单位或地方实际是否相适应。</w:t>
            </w:r>
          </w:p>
        </w:tc>
        <w:tc>
          <w:tcPr>
            <w:tcW w:w="1304" w:type="dxa"/>
            <w:gridSpan w:val="2"/>
            <w:shd w:val="clear" w:color="auto" w:fill="FFFFFF"/>
            <w:vAlign w:val="center"/>
          </w:tcPr>
          <w:p w14:paraId="0717F224">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5" w:type="dxa"/>
            <w:shd w:val="clear" w:color="auto" w:fill="FFFFFF"/>
            <w:vAlign w:val="center"/>
          </w:tcPr>
          <w:p w14:paraId="4F27B64F">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6384FA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1002" w:type="dxa"/>
            <w:vMerge w:val="restart"/>
            <w:shd w:val="clear" w:color="auto" w:fill="FFFFFF"/>
            <w:vAlign w:val="center"/>
          </w:tcPr>
          <w:p w14:paraId="30B2C7A1">
            <w:pPr>
              <w:spacing w:line="0" w:lineRule="atLeast"/>
              <w:jc w:val="center"/>
              <w:rPr>
                <w:rFonts w:hint="default" w:ascii="Times New Roman" w:hAnsi="Times New Roman" w:eastAsia="仿宋_GB2312" w:cs="Times New Roman"/>
                <w:color w:val="000000"/>
                <w:kern w:val="0"/>
                <w:sz w:val="18"/>
                <w:szCs w:val="18"/>
              </w:rPr>
            </w:pPr>
          </w:p>
          <w:p w14:paraId="1A99E79C">
            <w:pPr>
              <w:spacing w:line="0" w:lineRule="atLeast"/>
              <w:jc w:val="center"/>
              <w:rPr>
                <w:rFonts w:hint="default" w:ascii="Times New Roman" w:hAnsi="Times New Roman" w:eastAsia="仿宋_GB2312" w:cs="Times New Roman"/>
                <w:color w:val="000000"/>
                <w:kern w:val="0"/>
                <w:sz w:val="18"/>
                <w:szCs w:val="18"/>
              </w:rPr>
            </w:pPr>
          </w:p>
          <w:p w14:paraId="1B44900E">
            <w:pPr>
              <w:spacing w:line="0" w:lineRule="atLeast"/>
              <w:jc w:val="center"/>
              <w:rPr>
                <w:rFonts w:hint="default" w:ascii="Times New Roman" w:hAnsi="Times New Roman" w:eastAsia="仿宋_GB2312" w:cs="Times New Roman"/>
                <w:color w:val="000000"/>
                <w:kern w:val="0"/>
                <w:sz w:val="18"/>
                <w:szCs w:val="18"/>
              </w:rPr>
            </w:pPr>
          </w:p>
          <w:p w14:paraId="445EBD8B">
            <w:pPr>
              <w:spacing w:line="0" w:lineRule="atLeast"/>
              <w:jc w:val="center"/>
              <w:rPr>
                <w:rFonts w:hint="default" w:ascii="Times New Roman" w:hAnsi="Times New Roman" w:eastAsia="仿宋_GB2312" w:cs="Times New Roman"/>
                <w:color w:val="000000"/>
                <w:kern w:val="0"/>
                <w:sz w:val="18"/>
                <w:szCs w:val="18"/>
              </w:rPr>
            </w:pPr>
          </w:p>
          <w:p w14:paraId="203AEBB0">
            <w:pPr>
              <w:spacing w:line="0" w:lineRule="atLeast"/>
              <w:jc w:val="center"/>
              <w:rPr>
                <w:rFonts w:hint="default" w:ascii="Times New Roman" w:hAnsi="Times New Roman" w:eastAsia="仿宋_GB2312" w:cs="Times New Roman"/>
                <w:color w:val="000000"/>
                <w:kern w:val="0"/>
                <w:sz w:val="18"/>
                <w:szCs w:val="18"/>
              </w:rPr>
            </w:pPr>
          </w:p>
          <w:p w14:paraId="7EF4DFB6">
            <w:pPr>
              <w:spacing w:line="0" w:lineRule="atLeast"/>
              <w:jc w:val="center"/>
              <w:rPr>
                <w:rFonts w:hint="default" w:ascii="Times New Roman" w:hAnsi="Times New Roman" w:eastAsia="仿宋_GB2312" w:cs="Times New Roman"/>
                <w:color w:val="000000"/>
                <w:kern w:val="0"/>
                <w:sz w:val="18"/>
                <w:szCs w:val="18"/>
              </w:rPr>
            </w:pPr>
          </w:p>
          <w:p w14:paraId="6CD541A8">
            <w:pPr>
              <w:spacing w:line="0" w:lineRule="atLeast"/>
              <w:jc w:val="center"/>
              <w:rPr>
                <w:rFonts w:hint="default" w:ascii="Times New Roman" w:hAnsi="Times New Roman" w:eastAsia="仿宋_GB2312" w:cs="Times New Roman"/>
                <w:color w:val="000000"/>
                <w:kern w:val="0"/>
                <w:sz w:val="18"/>
                <w:szCs w:val="18"/>
              </w:rPr>
            </w:pPr>
          </w:p>
          <w:p w14:paraId="18C025E0">
            <w:pPr>
              <w:spacing w:line="0" w:lineRule="atLeast"/>
              <w:jc w:val="center"/>
              <w:rPr>
                <w:rFonts w:hint="default" w:ascii="Times New Roman" w:hAnsi="Times New Roman" w:eastAsia="仿宋_GB2312" w:cs="Times New Roman"/>
                <w:color w:val="000000"/>
                <w:kern w:val="0"/>
                <w:sz w:val="18"/>
                <w:szCs w:val="18"/>
              </w:rPr>
            </w:pPr>
          </w:p>
          <w:p w14:paraId="6C5D3384">
            <w:pPr>
              <w:spacing w:line="0" w:lineRule="atLeast"/>
              <w:jc w:val="center"/>
              <w:rPr>
                <w:rFonts w:hint="default" w:ascii="Times New Roman" w:hAnsi="Times New Roman" w:eastAsia="仿宋_GB2312" w:cs="Times New Roman"/>
                <w:color w:val="000000"/>
                <w:kern w:val="0"/>
                <w:sz w:val="18"/>
                <w:szCs w:val="18"/>
              </w:rPr>
            </w:pPr>
          </w:p>
          <w:p w14:paraId="069AE759">
            <w:pPr>
              <w:spacing w:line="0" w:lineRule="atLeast"/>
              <w:jc w:val="center"/>
              <w:rPr>
                <w:rFonts w:hint="default" w:ascii="Times New Roman" w:hAnsi="Times New Roman" w:eastAsia="仿宋_GB2312" w:cs="Times New Roman"/>
                <w:color w:val="000000"/>
                <w:kern w:val="0"/>
                <w:sz w:val="18"/>
                <w:szCs w:val="18"/>
              </w:rPr>
            </w:pPr>
          </w:p>
          <w:p w14:paraId="1A3FB84C">
            <w:pPr>
              <w:spacing w:line="0" w:lineRule="atLeast"/>
              <w:jc w:val="center"/>
              <w:rPr>
                <w:rFonts w:hint="default" w:ascii="Times New Roman" w:hAnsi="Times New Roman" w:eastAsia="仿宋_GB2312" w:cs="Times New Roman"/>
                <w:color w:val="000000"/>
                <w:kern w:val="0"/>
                <w:sz w:val="18"/>
                <w:szCs w:val="18"/>
              </w:rPr>
            </w:pPr>
          </w:p>
          <w:p w14:paraId="643417BB">
            <w:pPr>
              <w:spacing w:line="0" w:lineRule="atLeast"/>
              <w:jc w:val="center"/>
              <w:rPr>
                <w:rFonts w:hint="default" w:ascii="Times New Roman" w:hAnsi="Times New Roman" w:eastAsia="仿宋_GB2312" w:cs="Times New Roman"/>
                <w:color w:val="000000"/>
                <w:kern w:val="0"/>
                <w:sz w:val="18"/>
                <w:szCs w:val="18"/>
              </w:rPr>
            </w:pPr>
          </w:p>
          <w:p w14:paraId="1AB26D72">
            <w:pPr>
              <w:spacing w:line="0" w:lineRule="atLeast"/>
              <w:jc w:val="center"/>
              <w:rPr>
                <w:rFonts w:hint="default" w:ascii="Times New Roman" w:hAnsi="Times New Roman" w:eastAsia="仿宋_GB2312" w:cs="Times New Roman"/>
                <w:color w:val="000000"/>
                <w:kern w:val="0"/>
                <w:sz w:val="18"/>
                <w:szCs w:val="18"/>
              </w:rPr>
            </w:pPr>
          </w:p>
          <w:p w14:paraId="7A097DFF">
            <w:pPr>
              <w:spacing w:line="0" w:lineRule="atLeast"/>
              <w:jc w:val="center"/>
              <w:rPr>
                <w:rFonts w:hint="default" w:ascii="Times New Roman" w:hAnsi="Times New Roman" w:eastAsia="仿宋_GB2312" w:cs="Times New Roman"/>
                <w:color w:val="000000"/>
                <w:kern w:val="0"/>
                <w:sz w:val="18"/>
                <w:szCs w:val="18"/>
              </w:rPr>
            </w:pPr>
          </w:p>
          <w:p w14:paraId="6DB2C3BE">
            <w:pPr>
              <w:spacing w:line="0" w:lineRule="atLeast"/>
              <w:jc w:val="center"/>
              <w:rPr>
                <w:rFonts w:hint="default" w:ascii="Times New Roman" w:hAnsi="Times New Roman" w:eastAsia="仿宋_GB2312" w:cs="Times New Roman"/>
                <w:color w:val="000000"/>
                <w:kern w:val="0"/>
                <w:sz w:val="18"/>
                <w:szCs w:val="18"/>
              </w:rPr>
            </w:pPr>
          </w:p>
          <w:p w14:paraId="58FC8FD7">
            <w:pPr>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过程</w:t>
            </w:r>
          </w:p>
          <w:p w14:paraId="320185B0">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000" w:type="dxa"/>
            <w:vMerge w:val="restart"/>
            <w:shd w:val="clear" w:color="auto" w:fill="FFFFFF"/>
            <w:vAlign w:val="center"/>
          </w:tcPr>
          <w:p w14:paraId="594B486E">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资金管理</w:t>
            </w:r>
          </w:p>
        </w:tc>
        <w:tc>
          <w:tcPr>
            <w:tcW w:w="1071" w:type="dxa"/>
            <w:shd w:val="clear" w:color="auto" w:fill="FFFFFF"/>
            <w:vAlign w:val="center"/>
          </w:tcPr>
          <w:p w14:paraId="484F5754">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资金到位率</w:t>
            </w:r>
          </w:p>
        </w:tc>
        <w:tc>
          <w:tcPr>
            <w:tcW w:w="1725" w:type="dxa"/>
            <w:shd w:val="clear" w:color="000000" w:fill="FFFFFF"/>
            <w:vAlign w:val="center"/>
          </w:tcPr>
          <w:p w14:paraId="4D8ECD68">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实际到位资金与预算资金的比率，用以反映和考核资金落实情况对项目实施的总体保障程度。</w:t>
            </w:r>
          </w:p>
        </w:tc>
        <w:tc>
          <w:tcPr>
            <w:tcW w:w="5216" w:type="dxa"/>
            <w:shd w:val="clear" w:color="000000" w:fill="FFFFFF"/>
            <w:vAlign w:val="center"/>
          </w:tcPr>
          <w:p w14:paraId="67CC08C8">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资金到位率=（实际到位资金/预算资金）×100%。</w:t>
            </w:r>
          </w:p>
          <w:p w14:paraId="39039526">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实际到位资金：一定时期（本年度或项目期）内落实到具体项目的资金。</w:t>
            </w:r>
          </w:p>
          <w:p w14:paraId="090A1964">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预算资金：一定时期（本年度或项目期）内预算安排到具体项目的资金。</w:t>
            </w:r>
          </w:p>
        </w:tc>
        <w:tc>
          <w:tcPr>
            <w:tcW w:w="1304" w:type="dxa"/>
            <w:gridSpan w:val="2"/>
            <w:shd w:val="clear" w:color="000000" w:fill="FFFFFF"/>
            <w:vAlign w:val="center"/>
          </w:tcPr>
          <w:p w14:paraId="4F0D9BAD">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5" w:type="dxa"/>
            <w:shd w:val="clear" w:color="000000" w:fill="FFFFFF"/>
            <w:vAlign w:val="center"/>
          </w:tcPr>
          <w:p w14:paraId="2896237F">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235C1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1002" w:type="dxa"/>
            <w:vMerge w:val="continue"/>
            <w:shd w:val="clear" w:color="auto" w:fill="FFFFFF"/>
            <w:vAlign w:val="center"/>
          </w:tcPr>
          <w:p w14:paraId="4D51C22E">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0A934502">
            <w:pPr>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16D4F37B">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预算执行率</w:t>
            </w:r>
          </w:p>
        </w:tc>
        <w:tc>
          <w:tcPr>
            <w:tcW w:w="1725" w:type="dxa"/>
            <w:shd w:val="clear" w:color="auto" w:fill="FFFFFF"/>
            <w:vAlign w:val="center"/>
          </w:tcPr>
          <w:p w14:paraId="1C188344">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项目预算资金是否按照计划执行，用以反映或考核项目预算执行情况。</w:t>
            </w:r>
          </w:p>
        </w:tc>
        <w:tc>
          <w:tcPr>
            <w:tcW w:w="5216" w:type="dxa"/>
            <w:shd w:val="clear" w:color="auto" w:fill="FFFFFF"/>
            <w:vAlign w:val="center"/>
          </w:tcPr>
          <w:p w14:paraId="3FD62E91">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预算执行率=（实际支出资金/实际到位资金）×100%。</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实际支出资金：一定时期（本年度或项目期）内项目实际拨付的资金。</w:t>
            </w:r>
          </w:p>
        </w:tc>
        <w:tc>
          <w:tcPr>
            <w:tcW w:w="1304" w:type="dxa"/>
            <w:gridSpan w:val="2"/>
            <w:shd w:val="clear" w:color="auto" w:fill="FFFFFF"/>
            <w:vAlign w:val="center"/>
          </w:tcPr>
          <w:p w14:paraId="296EDF8B">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5" w:type="dxa"/>
            <w:shd w:val="clear" w:color="auto" w:fill="FFFFFF"/>
            <w:vAlign w:val="center"/>
          </w:tcPr>
          <w:p w14:paraId="0176A734">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770545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2" w:type="dxa"/>
            <w:vMerge w:val="continue"/>
            <w:shd w:val="clear" w:color="auto" w:fill="FFFFFF"/>
            <w:vAlign w:val="center"/>
          </w:tcPr>
          <w:p w14:paraId="20F9B42D">
            <w:pPr>
              <w:spacing w:line="0" w:lineRule="atLeast"/>
              <w:jc w:val="center"/>
              <w:rPr>
                <w:rFonts w:hint="default" w:ascii="Times New Roman" w:hAnsi="Times New Roman" w:eastAsia="仿宋_GB2312" w:cs="Times New Roman"/>
                <w:color w:val="000000"/>
                <w:kern w:val="0"/>
                <w:sz w:val="18"/>
                <w:szCs w:val="18"/>
              </w:rPr>
            </w:pPr>
          </w:p>
        </w:tc>
        <w:tc>
          <w:tcPr>
            <w:tcW w:w="1000" w:type="dxa"/>
            <w:shd w:val="clear" w:color="auto" w:fill="FFFFFF"/>
            <w:vAlign w:val="center"/>
          </w:tcPr>
          <w:p w14:paraId="1C071AB5">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资金管理</w:t>
            </w:r>
          </w:p>
        </w:tc>
        <w:tc>
          <w:tcPr>
            <w:tcW w:w="1071" w:type="dxa"/>
            <w:shd w:val="clear" w:color="auto" w:fill="FFFFFF"/>
            <w:vAlign w:val="center"/>
          </w:tcPr>
          <w:p w14:paraId="329D3C4C">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资金使用</w:t>
            </w:r>
          </w:p>
          <w:p w14:paraId="5D696B3C">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合规性</w:t>
            </w:r>
          </w:p>
        </w:tc>
        <w:tc>
          <w:tcPr>
            <w:tcW w:w="1725" w:type="dxa"/>
            <w:shd w:val="clear" w:color="000000" w:fill="FFFFFF"/>
            <w:vAlign w:val="center"/>
          </w:tcPr>
          <w:p w14:paraId="5B77ADCA">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项目资金使用是否符合相关的财务管理制度规定，用以反映和考核项目资金的规范运行情况。</w:t>
            </w:r>
          </w:p>
        </w:tc>
        <w:tc>
          <w:tcPr>
            <w:tcW w:w="5216" w:type="dxa"/>
            <w:shd w:val="clear" w:color="000000" w:fill="FFFFFF"/>
            <w:vAlign w:val="center"/>
          </w:tcPr>
          <w:p w14:paraId="4B5621E6">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评价要点：</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①是否符合国家财经法规和财务管理制度以及有关专项资金管理办法的规定；</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②资金的拨付是否有完整的审批程序和手续；</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③是否符合项目预算批复或合同规定的用途；</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④是否存在截留、挤占、挪用、虚列支出等情况。</w:t>
            </w:r>
          </w:p>
        </w:tc>
        <w:tc>
          <w:tcPr>
            <w:tcW w:w="1304" w:type="dxa"/>
            <w:gridSpan w:val="2"/>
            <w:shd w:val="clear" w:color="000000" w:fill="FFFFFF"/>
            <w:vAlign w:val="center"/>
          </w:tcPr>
          <w:p w14:paraId="0A8394C1">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5" w:type="dxa"/>
            <w:shd w:val="clear" w:color="000000" w:fill="FFFFFF"/>
            <w:vAlign w:val="center"/>
          </w:tcPr>
          <w:p w14:paraId="4E95298D">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6ECD48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1002" w:type="dxa"/>
            <w:vMerge w:val="continue"/>
            <w:shd w:val="clear" w:color="auto" w:fill="FFFFFF"/>
            <w:vAlign w:val="center"/>
          </w:tcPr>
          <w:p w14:paraId="522E4F59">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restart"/>
            <w:shd w:val="clear" w:color="auto" w:fill="FFFFFF"/>
            <w:vAlign w:val="center"/>
          </w:tcPr>
          <w:p w14:paraId="1004A095">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组织实施</w:t>
            </w:r>
          </w:p>
          <w:p w14:paraId="5D3A8544">
            <w:pPr>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071" w:type="dxa"/>
            <w:shd w:val="clear" w:color="auto" w:fill="FFFFFF"/>
            <w:vAlign w:val="center"/>
          </w:tcPr>
          <w:p w14:paraId="5BFC3F6A">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管理制度</w:t>
            </w:r>
          </w:p>
          <w:p w14:paraId="10307E9F">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健全性</w:t>
            </w:r>
          </w:p>
        </w:tc>
        <w:tc>
          <w:tcPr>
            <w:tcW w:w="1725" w:type="dxa"/>
            <w:shd w:val="clear" w:color="000000" w:fill="FFFFFF"/>
            <w:vAlign w:val="center"/>
          </w:tcPr>
          <w:p w14:paraId="3E192C83">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项目实施单位的财务和业务管理制度是否健全，用以反映和考核财务和业务管理制度对项目顺利实施的保障情况。</w:t>
            </w:r>
          </w:p>
        </w:tc>
        <w:tc>
          <w:tcPr>
            <w:tcW w:w="5216" w:type="dxa"/>
            <w:shd w:val="clear" w:color="000000" w:fill="FFFFFF"/>
            <w:vAlign w:val="center"/>
          </w:tcPr>
          <w:p w14:paraId="53938E96">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评价要点：</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①是否已制定或具有相应的财务和业务管理制度；</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②财务和业务管理制度是否合法、合规、完整。</w:t>
            </w:r>
          </w:p>
        </w:tc>
        <w:tc>
          <w:tcPr>
            <w:tcW w:w="1304" w:type="dxa"/>
            <w:gridSpan w:val="2"/>
            <w:shd w:val="clear" w:color="000000" w:fill="FFFFFF"/>
            <w:vAlign w:val="center"/>
          </w:tcPr>
          <w:p w14:paraId="5A8F33CD">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5" w:type="dxa"/>
            <w:shd w:val="clear" w:color="000000" w:fill="FFFFFF"/>
            <w:vAlign w:val="center"/>
          </w:tcPr>
          <w:p w14:paraId="2E2EB6AD">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54893E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1002" w:type="dxa"/>
            <w:vMerge w:val="continue"/>
            <w:shd w:val="clear" w:color="auto" w:fill="FFFFFF"/>
            <w:vAlign w:val="center"/>
          </w:tcPr>
          <w:p w14:paraId="48102F17">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2F627D8D">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35EEBDD0">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制度执行</w:t>
            </w:r>
          </w:p>
          <w:p w14:paraId="4E838A6C">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有效性</w:t>
            </w:r>
          </w:p>
        </w:tc>
        <w:tc>
          <w:tcPr>
            <w:tcW w:w="1725" w:type="dxa"/>
            <w:shd w:val="clear" w:color="000000" w:fill="FFFFFF"/>
            <w:vAlign w:val="center"/>
          </w:tcPr>
          <w:p w14:paraId="58014030">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项目实施是否符合相关管理规定，用以反映和考核相关管理制度的有效执行情况。</w:t>
            </w:r>
          </w:p>
        </w:tc>
        <w:tc>
          <w:tcPr>
            <w:tcW w:w="5216" w:type="dxa"/>
            <w:shd w:val="clear" w:color="000000" w:fill="FFFFFF"/>
            <w:vAlign w:val="center"/>
          </w:tcPr>
          <w:p w14:paraId="171BC9D9">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评价要点：</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①是否遵守相关法律法规和相关管理规定；</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②项目调整及支出调整手续是否完备；</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③项目合同书、验收报告、技术鉴定等资料是否齐全并及时归档；</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④项目实施的人员条件、场地设备、信息支撑等是否落实到位。</w:t>
            </w:r>
          </w:p>
        </w:tc>
        <w:tc>
          <w:tcPr>
            <w:tcW w:w="1304" w:type="dxa"/>
            <w:gridSpan w:val="2"/>
            <w:shd w:val="clear" w:color="000000" w:fill="FFFFFF"/>
            <w:vAlign w:val="center"/>
          </w:tcPr>
          <w:p w14:paraId="4939CBA1">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5" w:type="dxa"/>
            <w:shd w:val="clear" w:color="000000" w:fill="FFFFFF"/>
            <w:vAlign w:val="center"/>
          </w:tcPr>
          <w:p w14:paraId="7562F1DE">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11595E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1002" w:type="dxa"/>
            <w:vMerge w:val="restart"/>
            <w:shd w:val="clear" w:color="auto" w:fill="FFFFFF"/>
            <w:vAlign w:val="center"/>
          </w:tcPr>
          <w:p w14:paraId="3CC95BB3">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w:t>
            </w:r>
          </w:p>
        </w:tc>
        <w:tc>
          <w:tcPr>
            <w:tcW w:w="1000" w:type="dxa"/>
            <w:shd w:val="clear" w:color="auto" w:fill="FFFFFF"/>
            <w:vAlign w:val="center"/>
          </w:tcPr>
          <w:p w14:paraId="6A571079">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产出数量</w:t>
            </w:r>
          </w:p>
        </w:tc>
        <w:tc>
          <w:tcPr>
            <w:tcW w:w="1071" w:type="dxa"/>
            <w:shd w:val="clear" w:color="auto" w:fill="FFFFFF"/>
            <w:vAlign w:val="center"/>
          </w:tcPr>
          <w:p w14:paraId="7C2475DA">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实际完成率</w:t>
            </w:r>
          </w:p>
        </w:tc>
        <w:tc>
          <w:tcPr>
            <w:tcW w:w="1725" w:type="dxa"/>
            <w:shd w:val="clear" w:color="000000" w:fill="FFFFFF"/>
            <w:vAlign w:val="center"/>
          </w:tcPr>
          <w:p w14:paraId="74FDC18B">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项目实施的实际产出数与计划产出数的比率，用以反映和考核项目产出数量目标的实现程度。</w:t>
            </w:r>
          </w:p>
        </w:tc>
        <w:tc>
          <w:tcPr>
            <w:tcW w:w="5216" w:type="dxa"/>
            <w:shd w:val="clear" w:color="000000" w:fill="FFFFFF"/>
            <w:vAlign w:val="center"/>
          </w:tcPr>
          <w:p w14:paraId="0B3DC41D">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实际完成率=（实际产出数/计划产出数）×100%。</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实际产出数：一定时期（本年度或项目期）内项目实际产出的产品或提供的服务数量。</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计划产出数：项目绩效目标确定的在一定时期（本年度或项目期）内计划产出的产品或提供的服务数量。</w:t>
            </w:r>
          </w:p>
        </w:tc>
        <w:tc>
          <w:tcPr>
            <w:tcW w:w="1304" w:type="dxa"/>
            <w:gridSpan w:val="2"/>
            <w:shd w:val="clear" w:color="000000" w:fill="FFFFFF"/>
            <w:vAlign w:val="center"/>
          </w:tcPr>
          <w:p w14:paraId="14541A0B">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5" w:type="dxa"/>
            <w:shd w:val="clear" w:color="000000" w:fill="FFFFFF"/>
            <w:vAlign w:val="center"/>
          </w:tcPr>
          <w:p w14:paraId="4723FF22">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2114EB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73" w:hRule="atLeast"/>
          <w:jc w:val="center"/>
        </w:trPr>
        <w:tc>
          <w:tcPr>
            <w:tcW w:w="1002" w:type="dxa"/>
            <w:vMerge w:val="continue"/>
            <w:shd w:val="clear" w:color="auto" w:fill="FFFFFF"/>
            <w:vAlign w:val="center"/>
          </w:tcPr>
          <w:p w14:paraId="120E8D08">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shd w:val="clear" w:color="auto" w:fill="FFFFFF"/>
            <w:vAlign w:val="center"/>
          </w:tcPr>
          <w:p w14:paraId="78AD68B7">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产出质量</w:t>
            </w:r>
          </w:p>
        </w:tc>
        <w:tc>
          <w:tcPr>
            <w:tcW w:w="1071" w:type="dxa"/>
            <w:shd w:val="clear" w:color="auto" w:fill="FFFFFF"/>
            <w:vAlign w:val="center"/>
          </w:tcPr>
          <w:p w14:paraId="3928915D">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质量达标率</w:t>
            </w:r>
          </w:p>
        </w:tc>
        <w:tc>
          <w:tcPr>
            <w:tcW w:w="1725" w:type="dxa"/>
            <w:shd w:val="clear" w:color="000000" w:fill="FFFFFF"/>
            <w:vAlign w:val="center"/>
          </w:tcPr>
          <w:p w14:paraId="4EA1A509">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项目完成的质量达标产出数与实际产出数的比率，用以反映和考核项目产出质量目标的实现程度。</w:t>
            </w:r>
          </w:p>
        </w:tc>
        <w:tc>
          <w:tcPr>
            <w:tcW w:w="5216" w:type="dxa"/>
            <w:shd w:val="clear" w:color="000000" w:fill="FFFFFF"/>
            <w:vAlign w:val="center"/>
          </w:tcPr>
          <w:p w14:paraId="1DB8905B">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质量达标率=（质量达标产出数/实际产出数）×100%。</w:t>
            </w:r>
          </w:p>
          <w:p w14:paraId="73A8DA97">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4" w:type="dxa"/>
            <w:gridSpan w:val="2"/>
            <w:shd w:val="clear" w:color="000000" w:fill="FFFFFF"/>
            <w:vAlign w:val="center"/>
          </w:tcPr>
          <w:p w14:paraId="62363E4C">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5" w:type="dxa"/>
            <w:shd w:val="clear" w:color="000000" w:fill="FFFFFF"/>
            <w:vAlign w:val="center"/>
          </w:tcPr>
          <w:p w14:paraId="2083DCFF">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27CD13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1002" w:type="dxa"/>
            <w:vMerge w:val="continue"/>
            <w:shd w:val="clear" w:color="auto" w:fill="FFFFFF"/>
            <w:vAlign w:val="center"/>
          </w:tcPr>
          <w:p w14:paraId="664B6BDB">
            <w:pPr>
              <w:spacing w:line="0" w:lineRule="atLeast"/>
              <w:jc w:val="center"/>
              <w:rPr>
                <w:rFonts w:hint="default" w:ascii="Times New Roman" w:hAnsi="Times New Roman" w:eastAsia="仿宋_GB2312" w:cs="Times New Roman"/>
                <w:color w:val="000000"/>
                <w:kern w:val="0"/>
                <w:sz w:val="18"/>
                <w:szCs w:val="18"/>
              </w:rPr>
            </w:pPr>
          </w:p>
        </w:tc>
        <w:tc>
          <w:tcPr>
            <w:tcW w:w="1000" w:type="dxa"/>
            <w:shd w:val="clear" w:color="auto" w:fill="FFFFFF"/>
            <w:vAlign w:val="center"/>
          </w:tcPr>
          <w:p w14:paraId="51A075C8">
            <w:pPr>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产出时效</w:t>
            </w:r>
          </w:p>
        </w:tc>
        <w:tc>
          <w:tcPr>
            <w:tcW w:w="1071" w:type="dxa"/>
            <w:shd w:val="clear" w:color="auto" w:fill="FFFFFF"/>
            <w:vAlign w:val="center"/>
          </w:tcPr>
          <w:p w14:paraId="4F207DD2">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完成及时性</w:t>
            </w:r>
          </w:p>
        </w:tc>
        <w:tc>
          <w:tcPr>
            <w:tcW w:w="1725" w:type="dxa"/>
            <w:shd w:val="clear" w:color="000000" w:fill="FFFFFF"/>
            <w:vAlign w:val="center"/>
          </w:tcPr>
          <w:p w14:paraId="7D125035">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项目实际完成时间与计划完成时间的比较，用以反映和考核项目产出时效目标的实现程度。</w:t>
            </w:r>
          </w:p>
        </w:tc>
        <w:tc>
          <w:tcPr>
            <w:tcW w:w="5216" w:type="dxa"/>
            <w:shd w:val="clear" w:color="000000" w:fill="FFFFFF"/>
            <w:vAlign w:val="center"/>
          </w:tcPr>
          <w:p w14:paraId="71913391">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实际完成时间：项目实施单位完成该项目实际所耗用的时间。</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计划完成时间：按照项目实施计划或相关规定完成该项目所需的时间。</w:t>
            </w:r>
          </w:p>
        </w:tc>
        <w:tc>
          <w:tcPr>
            <w:tcW w:w="1304" w:type="dxa"/>
            <w:gridSpan w:val="2"/>
            <w:shd w:val="clear" w:color="000000" w:fill="FFFFFF"/>
            <w:vAlign w:val="center"/>
          </w:tcPr>
          <w:p w14:paraId="77787202">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5" w:type="dxa"/>
            <w:shd w:val="clear" w:color="000000" w:fill="FFFFFF"/>
            <w:vAlign w:val="center"/>
          </w:tcPr>
          <w:p w14:paraId="7C7EC628">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6324F8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2" w:type="dxa"/>
            <w:vMerge w:val="continue"/>
            <w:shd w:val="clear" w:color="auto" w:fill="FFFFFF"/>
            <w:vAlign w:val="center"/>
          </w:tcPr>
          <w:p w14:paraId="03DE8A19">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shd w:val="clear" w:color="auto" w:fill="FFFFFF"/>
            <w:vAlign w:val="center"/>
          </w:tcPr>
          <w:p w14:paraId="71D519C6">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产出成本</w:t>
            </w:r>
          </w:p>
        </w:tc>
        <w:tc>
          <w:tcPr>
            <w:tcW w:w="1071" w:type="dxa"/>
            <w:shd w:val="clear" w:color="auto" w:fill="FFFFFF"/>
            <w:vAlign w:val="center"/>
          </w:tcPr>
          <w:p w14:paraId="3C8514AF">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成本节约率</w:t>
            </w:r>
          </w:p>
        </w:tc>
        <w:tc>
          <w:tcPr>
            <w:tcW w:w="1725" w:type="dxa"/>
            <w:shd w:val="clear" w:color="000000" w:fill="FFFFFF"/>
            <w:vAlign w:val="center"/>
          </w:tcPr>
          <w:p w14:paraId="7C809347">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完成项目计划工作目标的实际节约成本与计划成本的比率，用以反映和考核项目的成本节约程度。</w:t>
            </w:r>
          </w:p>
        </w:tc>
        <w:tc>
          <w:tcPr>
            <w:tcW w:w="5216" w:type="dxa"/>
            <w:shd w:val="clear" w:color="000000" w:fill="FFFFFF"/>
            <w:vAlign w:val="center"/>
          </w:tcPr>
          <w:p w14:paraId="687FEECB">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成本节约率=[（计划成本-实际成本）/计划成本]×100%。</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实际成本：项目实施单位如期、保质、保量完成既定工作目标实际所耗费的支出。</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计划成本：项目实施单位为完成工作目标计划安排的支出，一般以项目预算为参考。</w:t>
            </w:r>
          </w:p>
        </w:tc>
        <w:tc>
          <w:tcPr>
            <w:tcW w:w="1304" w:type="dxa"/>
            <w:gridSpan w:val="2"/>
            <w:shd w:val="clear" w:color="000000" w:fill="FFFFFF"/>
            <w:vAlign w:val="center"/>
          </w:tcPr>
          <w:p w14:paraId="69634853">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5" w:type="dxa"/>
            <w:shd w:val="clear" w:color="000000" w:fill="FFFFFF"/>
            <w:vAlign w:val="center"/>
          </w:tcPr>
          <w:p w14:paraId="60FC0767">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6B36E2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1002" w:type="dxa"/>
            <w:vMerge w:val="restart"/>
            <w:shd w:val="clear" w:color="auto" w:fill="FFFFFF"/>
            <w:vAlign w:val="center"/>
          </w:tcPr>
          <w:p w14:paraId="5CD4149A">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效益　</w:t>
            </w:r>
          </w:p>
        </w:tc>
        <w:tc>
          <w:tcPr>
            <w:tcW w:w="1000" w:type="dxa"/>
            <w:vMerge w:val="restart"/>
            <w:shd w:val="clear" w:color="auto" w:fill="FFFFFF"/>
            <w:vAlign w:val="center"/>
          </w:tcPr>
          <w:p w14:paraId="6A8CEEAD">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项目效益　</w:t>
            </w:r>
          </w:p>
        </w:tc>
        <w:tc>
          <w:tcPr>
            <w:tcW w:w="1071" w:type="dxa"/>
            <w:shd w:val="clear" w:color="auto" w:fill="FFFFFF"/>
            <w:vAlign w:val="center"/>
          </w:tcPr>
          <w:p w14:paraId="2B9C1ABA">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实施效益</w:t>
            </w:r>
          </w:p>
        </w:tc>
        <w:tc>
          <w:tcPr>
            <w:tcW w:w="1725" w:type="dxa"/>
            <w:shd w:val="clear" w:color="auto" w:fill="FFFFFF"/>
            <w:vAlign w:val="center"/>
          </w:tcPr>
          <w:p w14:paraId="085998D5">
            <w:pPr>
              <w:widowControl/>
              <w:spacing w:line="0" w:lineRule="atLeast"/>
              <w:jc w:val="lef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项目实施所产生的效益。</w:t>
            </w:r>
          </w:p>
        </w:tc>
        <w:tc>
          <w:tcPr>
            <w:tcW w:w="5216" w:type="dxa"/>
            <w:shd w:val="clear" w:color="auto" w:fill="FFFFFF"/>
            <w:vAlign w:val="center"/>
          </w:tcPr>
          <w:p w14:paraId="4D20F513">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项目实施所产生的社会效益、经济效益、生态效益、可持续影响等。可根据项目实际情况有选择地设置和细化。</w:t>
            </w:r>
          </w:p>
        </w:tc>
        <w:tc>
          <w:tcPr>
            <w:tcW w:w="1304" w:type="dxa"/>
            <w:gridSpan w:val="2"/>
            <w:shd w:val="clear" w:color="auto" w:fill="FFFFFF"/>
            <w:vAlign w:val="center"/>
          </w:tcPr>
          <w:p w14:paraId="7EF98345">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10</w:t>
            </w:r>
          </w:p>
        </w:tc>
        <w:tc>
          <w:tcPr>
            <w:tcW w:w="1365" w:type="dxa"/>
            <w:shd w:val="clear" w:color="auto" w:fill="FFFFFF"/>
            <w:vAlign w:val="center"/>
          </w:tcPr>
          <w:p w14:paraId="6B51F782">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21AA94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1002" w:type="dxa"/>
            <w:vMerge w:val="continue"/>
            <w:shd w:val="clear" w:color="auto" w:fill="FFFFFF"/>
            <w:vAlign w:val="center"/>
          </w:tcPr>
          <w:p w14:paraId="7595B994">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vMerge w:val="continue"/>
            <w:shd w:val="clear" w:color="auto" w:fill="FFFFFF"/>
            <w:vAlign w:val="center"/>
          </w:tcPr>
          <w:p w14:paraId="356C62C2">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71" w:type="dxa"/>
            <w:shd w:val="clear" w:color="auto" w:fill="FFFFFF"/>
            <w:vAlign w:val="center"/>
          </w:tcPr>
          <w:p w14:paraId="49EE46A2">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满意度</w:t>
            </w:r>
          </w:p>
        </w:tc>
        <w:tc>
          <w:tcPr>
            <w:tcW w:w="1725" w:type="dxa"/>
            <w:shd w:val="clear" w:color="000000" w:fill="FFFFFF"/>
            <w:vAlign w:val="center"/>
          </w:tcPr>
          <w:p w14:paraId="722AFEAF">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社会公众或服务对象对项目实施效果的满意程度。</w:t>
            </w:r>
          </w:p>
        </w:tc>
        <w:tc>
          <w:tcPr>
            <w:tcW w:w="5216" w:type="dxa"/>
            <w:shd w:val="clear" w:color="000000" w:fill="FFFFFF"/>
            <w:vAlign w:val="center"/>
          </w:tcPr>
          <w:p w14:paraId="2F86D602">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社会公众或服务对象是指因该项目实施而受到影响的部门（单位）、群体或个人。一般采取社会调查的方式。</w:t>
            </w:r>
          </w:p>
        </w:tc>
        <w:tc>
          <w:tcPr>
            <w:tcW w:w="1304" w:type="dxa"/>
            <w:gridSpan w:val="2"/>
            <w:shd w:val="clear" w:color="000000" w:fill="FFFFFF"/>
            <w:vAlign w:val="center"/>
          </w:tcPr>
          <w:p w14:paraId="3A58B0E8">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10</w:t>
            </w:r>
          </w:p>
        </w:tc>
        <w:tc>
          <w:tcPr>
            <w:tcW w:w="1365" w:type="dxa"/>
            <w:shd w:val="clear" w:color="000000" w:fill="FFFFFF"/>
            <w:vAlign w:val="center"/>
          </w:tcPr>
          <w:p w14:paraId="6D5DFDF6">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189497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3" w:hRule="atLeast"/>
          <w:jc w:val="center"/>
        </w:trPr>
        <w:tc>
          <w:tcPr>
            <w:tcW w:w="10019" w:type="dxa"/>
            <w:gridSpan w:val="6"/>
            <w:shd w:val="clear" w:color="auto" w:fill="FFFFFF"/>
            <w:vAlign w:val="center"/>
          </w:tcPr>
          <w:p w14:paraId="345F04A8">
            <w:pPr>
              <w:widowControl/>
              <w:spacing w:line="0" w:lineRule="atLeast"/>
              <w:jc w:val="center"/>
              <w:rPr>
                <w:rFonts w:hint="eastAsia"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合计</w:t>
            </w:r>
          </w:p>
        </w:tc>
        <w:tc>
          <w:tcPr>
            <w:tcW w:w="1299" w:type="dxa"/>
            <w:shd w:val="clear" w:color="000000" w:fill="FFFFFF"/>
            <w:vAlign w:val="center"/>
          </w:tcPr>
          <w:p w14:paraId="5FFAD375">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fldChar w:fldCharType="begin"/>
            </w:r>
            <w:r>
              <w:rPr>
                <w:rFonts w:hint="default" w:ascii="Times New Roman" w:hAnsi="Times New Roman" w:eastAsia="仿宋_GB2312" w:cs="Times New Roman"/>
                <w:b/>
                <w:bCs/>
                <w:color w:val="000000"/>
                <w:kern w:val="0"/>
                <w:sz w:val="18"/>
                <w:szCs w:val="18"/>
                <w:highlight w:val="none"/>
              </w:rPr>
              <w:instrText xml:space="preserve"> = sum(F2:F18) \* MERGEFORMAT </w:instrText>
            </w:r>
            <w:r>
              <w:rPr>
                <w:rFonts w:hint="default" w:ascii="Times New Roman" w:hAnsi="Times New Roman" w:eastAsia="仿宋_GB2312" w:cs="Times New Roman"/>
                <w:b/>
                <w:bCs/>
                <w:color w:val="000000"/>
                <w:kern w:val="0"/>
                <w:sz w:val="18"/>
                <w:szCs w:val="18"/>
                <w:highlight w:val="none"/>
              </w:rPr>
              <w:fldChar w:fldCharType="separate"/>
            </w:r>
            <w:r>
              <w:rPr>
                <w:rFonts w:hint="default" w:ascii="Times New Roman" w:hAnsi="Times New Roman" w:eastAsia="仿宋_GB2312" w:cs="Times New Roman"/>
                <w:b/>
                <w:bCs/>
                <w:color w:val="000000"/>
                <w:kern w:val="0"/>
                <w:sz w:val="18"/>
                <w:szCs w:val="18"/>
                <w:highlight w:val="none"/>
              </w:rPr>
              <w:t>100</w:t>
            </w:r>
            <w:r>
              <w:rPr>
                <w:rFonts w:hint="default" w:ascii="Times New Roman" w:hAnsi="Times New Roman" w:eastAsia="仿宋_GB2312" w:cs="Times New Roman"/>
                <w:b/>
                <w:bCs/>
                <w:color w:val="000000"/>
                <w:kern w:val="0"/>
                <w:sz w:val="18"/>
                <w:szCs w:val="18"/>
                <w:highlight w:val="none"/>
              </w:rPr>
              <w:fldChar w:fldCharType="end"/>
            </w:r>
          </w:p>
        </w:tc>
        <w:tc>
          <w:tcPr>
            <w:tcW w:w="1365" w:type="dxa"/>
            <w:shd w:val="clear" w:color="000000" w:fill="FFFFFF"/>
            <w:vAlign w:val="center"/>
          </w:tcPr>
          <w:p w14:paraId="1F84BC87">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100</w:t>
            </w:r>
          </w:p>
        </w:tc>
      </w:tr>
    </w:tbl>
    <w:p w14:paraId="57C5F266">
      <w:pPr>
        <w:rPr>
          <w:rFonts w:hint="default" w:ascii="Times New Roman" w:hAnsi="Times New Roman" w:cs="Times New Roman"/>
          <w:highlight w:val="none"/>
        </w:rPr>
        <w:sectPr>
          <w:pgSz w:w="16838" w:h="11906" w:orient="landscape"/>
          <w:pgMar w:top="1800" w:right="1440" w:bottom="1558" w:left="1440" w:header="851" w:footer="992" w:gutter="0"/>
          <w:cols w:space="425" w:num="1"/>
          <w:docGrid w:type="lines" w:linePitch="312" w:charSpace="0"/>
        </w:sectPr>
      </w:pPr>
    </w:p>
    <w:p w14:paraId="5686F662">
      <w:pPr>
        <w:spacing w:line="600" w:lineRule="exact"/>
        <w:rPr>
          <w:rFonts w:hint="eastAsia" w:eastAsia="黑体" w:cs="Times New Roman"/>
          <w:sz w:val="32"/>
          <w:szCs w:val="32"/>
          <w:lang w:val="en-US" w:eastAsia="zh-CN"/>
        </w:rPr>
      </w:pPr>
      <w:r>
        <w:rPr>
          <w:rFonts w:hint="eastAsia" w:ascii="Times New Roman" w:hAnsi="Times New Roman" w:eastAsia="黑体" w:cs="Times New Roman"/>
          <w:sz w:val="32"/>
          <w:szCs w:val="32"/>
          <w:lang w:val="en-US" w:eastAsia="zh-CN"/>
        </w:rPr>
        <w:t>附件</w:t>
      </w:r>
      <w:r>
        <w:rPr>
          <w:rFonts w:hint="eastAsia" w:eastAsia="黑体" w:cs="Times New Roman"/>
          <w:sz w:val="32"/>
          <w:szCs w:val="32"/>
          <w:lang w:val="en-US" w:eastAsia="zh-CN"/>
        </w:rPr>
        <w:t>2</w:t>
      </w:r>
    </w:p>
    <w:p w14:paraId="45350C4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项目支出绩效自评表</w:t>
      </w:r>
    </w:p>
    <w:p w14:paraId="14C4C31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i w:val="0"/>
          <w:iCs w:val="0"/>
          <w:color w:val="000000"/>
          <w:kern w:val="0"/>
          <w:sz w:val="22"/>
          <w:szCs w:val="22"/>
          <w:u w:val="none"/>
          <w:lang w:val="en-US" w:eastAsia="zh-CN" w:bidi="ar"/>
        </w:rPr>
      </w:pPr>
      <w:r>
        <w:rPr>
          <w:rFonts w:hint="default" w:ascii="Times New Roman" w:hAnsi="Times New Roman" w:eastAsia="仿宋_GB2312" w:cs="Times New Roman"/>
          <w:b/>
          <w:bCs/>
          <w:i w:val="0"/>
          <w:iCs w:val="0"/>
          <w:color w:val="000000"/>
          <w:kern w:val="0"/>
          <w:sz w:val="22"/>
          <w:szCs w:val="22"/>
          <w:u w:val="none"/>
          <w:lang w:val="en-US" w:eastAsia="zh-CN" w:bidi="ar"/>
        </w:rPr>
        <w:t>（ 2024年度）</w:t>
      </w:r>
    </w:p>
    <w:tbl>
      <w:tblPr>
        <w:tblStyle w:val="14"/>
        <w:tblpPr w:leftFromText="180" w:rightFromText="180" w:vertAnchor="text" w:horzAnchor="page" w:tblpX="1373" w:tblpY="306"/>
        <w:tblOverlap w:val="never"/>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7"/>
        <w:gridCol w:w="1292"/>
        <w:gridCol w:w="994"/>
        <w:gridCol w:w="1350"/>
        <w:gridCol w:w="1140"/>
        <w:gridCol w:w="1010"/>
        <w:gridCol w:w="880"/>
        <w:gridCol w:w="870"/>
        <w:gridCol w:w="1184"/>
        <w:gridCol w:w="640"/>
        <w:gridCol w:w="1032"/>
        <w:gridCol w:w="830"/>
        <w:gridCol w:w="748"/>
        <w:gridCol w:w="1287"/>
      </w:tblGrid>
      <w:tr w14:paraId="23533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2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A710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项目名称</w:t>
            </w:r>
          </w:p>
        </w:tc>
        <w:tc>
          <w:tcPr>
            <w:tcW w:w="1196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B490B68">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2024年本级追加，达党财纪字〔2024〕1号（21），追加机关工委机关工会联合会经费</w:t>
            </w:r>
          </w:p>
        </w:tc>
      </w:tr>
      <w:tr w14:paraId="43F6D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2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DD0E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主管部门</w:t>
            </w:r>
          </w:p>
        </w:tc>
        <w:tc>
          <w:tcPr>
            <w:tcW w:w="53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692E44">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中共乌鲁木齐市达坂城区委员会直属机关工作委员会</w:t>
            </w:r>
          </w:p>
        </w:tc>
        <w:tc>
          <w:tcPr>
            <w:tcW w:w="2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1D99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实施单位</w:t>
            </w:r>
          </w:p>
        </w:tc>
        <w:tc>
          <w:tcPr>
            <w:tcW w:w="45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AF065A">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中共乌鲁木齐市达坂城区委员会直属机关工作委员会</w:t>
            </w:r>
          </w:p>
        </w:tc>
      </w:tr>
      <w:tr w14:paraId="7515D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2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5CE1D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项目资金</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（万元）</w:t>
            </w:r>
          </w:p>
        </w:tc>
        <w:tc>
          <w:tcPr>
            <w:tcW w:w="2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6029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资金来源</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062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年初预算数</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087F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全年预算数</w:t>
            </w:r>
          </w:p>
        </w:tc>
        <w:tc>
          <w:tcPr>
            <w:tcW w:w="2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AF499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全年执行数</w:t>
            </w:r>
          </w:p>
        </w:tc>
        <w:tc>
          <w:tcPr>
            <w:tcW w:w="1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E858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分值权重</w:t>
            </w:r>
          </w:p>
        </w:tc>
        <w:tc>
          <w:tcPr>
            <w:tcW w:w="1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75E4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执行率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D4C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r>
      <w:tr w14:paraId="1FC98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2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8D15">
            <w:pPr>
              <w:jc w:val="center"/>
              <w:rPr>
                <w:rFonts w:hint="eastAsia" w:ascii="仿宋_GB2312" w:hAnsi="仿宋_GB2312" w:eastAsia="仿宋_GB2312" w:cs="仿宋_GB2312"/>
                <w:i w:val="0"/>
                <w:iCs w:val="0"/>
                <w:color w:val="000000"/>
                <w:sz w:val="18"/>
                <w:szCs w:val="18"/>
                <w:u w:val="none"/>
              </w:rPr>
            </w:pPr>
            <w:bookmarkStart w:id="12" w:name="OLE_LINK7" w:colFirst="2" w:colLast="2"/>
          </w:p>
        </w:tc>
        <w:tc>
          <w:tcPr>
            <w:tcW w:w="2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4B26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年度资金总额</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4AE1">
            <w:pPr>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33.39</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2981F">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lang w:val="en-US" w:eastAsia="zh-CN"/>
              </w:rPr>
              <w:t>33.39</w:t>
            </w:r>
          </w:p>
        </w:tc>
        <w:tc>
          <w:tcPr>
            <w:tcW w:w="2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6E6AF">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lang w:val="en-US" w:eastAsia="zh-CN"/>
              </w:rPr>
              <w:t>33.39</w:t>
            </w:r>
          </w:p>
        </w:tc>
        <w:tc>
          <w:tcPr>
            <w:tcW w:w="1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BC2F5">
            <w:pPr>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w:t>
            </w:r>
          </w:p>
        </w:tc>
        <w:tc>
          <w:tcPr>
            <w:tcW w:w="1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579B6">
            <w:pPr>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FD8B">
            <w:pPr>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w:t>
            </w:r>
          </w:p>
        </w:tc>
      </w:tr>
      <w:tr w14:paraId="3B9AF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2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FA15F">
            <w:pPr>
              <w:jc w:val="center"/>
              <w:rPr>
                <w:rFonts w:hint="eastAsia" w:ascii="仿宋_GB2312" w:hAnsi="仿宋_GB2312" w:eastAsia="仿宋_GB2312" w:cs="仿宋_GB2312"/>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9FC5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其中：当年财政拨款</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69DF">
            <w:pPr>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33.39</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0027D">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lang w:val="en-US" w:eastAsia="zh-CN"/>
              </w:rPr>
              <w:t>33.39</w:t>
            </w:r>
          </w:p>
        </w:tc>
        <w:tc>
          <w:tcPr>
            <w:tcW w:w="2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947E3">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lang w:val="en-US" w:eastAsia="zh-CN"/>
              </w:rPr>
              <w:t>33.39</w:t>
            </w:r>
          </w:p>
        </w:tc>
        <w:tc>
          <w:tcPr>
            <w:tcW w:w="1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9A17F">
            <w:pPr>
              <w:jc w:val="center"/>
              <w:rPr>
                <w:rFonts w:hint="default" w:ascii="仿宋_GB2312" w:hAnsi="仿宋_GB2312" w:eastAsia="仿宋_GB2312" w:cs="仿宋_GB2312"/>
                <w:i w:val="0"/>
                <w:iCs w:val="0"/>
                <w:color w:val="000000"/>
                <w:sz w:val="18"/>
                <w:szCs w:val="18"/>
                <w:u w:val="none"/>
                <w:lang w:val="en-US" w:eastAsia="zh-CN"/>
              </w:rPr>
            </w:pPr>
          </w:p>
        </w:tc>
        <w:tc>
          <w:tcPr>
            <w:tcW w:w="1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C6761">
            <w:pPr>
              <w:jc w:val="center"/>
              <w:rPr>
                <w:rFonts w:hint="default" w:ascii="仿宋_GB2312" w:hAnsi="仿宋_GB2312" w:eastAsia="仿宋_GB2312" w:cs="仿宋_GB2312"/>
                <w:i w:val="0"/>
                <w:iCs w:val="0"/>
                <w:color w:val="000000"/>
                <w:sz w:val="18"/>
                <w:szCs w:val="18"/>
                <w:u w:val="none"/>
                <w:lang w:val="en-US" w:eastAsia="zh-CN"/>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A700">
            <w:pPr>
              <w:jc w:val="center"/>
              <w:rPr>
                <w:rFonts w:hint="default" w:ascii="仿宋_GB2312" w:hAnsi="仿宋_GB2312" w:eastAsia="仿宋_GB2312" w:cs="仿宋_GB2312"/>
                <w:i w:val="0"/>
                <w:iCs w:val="0"/>
                <w:color w:val="000000"/>
                <w:sz w:val="18"/>
                <w:szCs w:val="18"/>
                <w:u w:val="none"/>
                <w:lang w:val="en-US" w:eastAsia="zh-CN"/>
              </w:rPr>
            </w:pPr>
          </w:p>
        </w:tc>
      </w:tr>
      <w:bookmarkEnd w:id="12"/>
      <w:tr w14:paraId="75507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2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E28E4">
            <w:pPr>
              <w:jc w:val="center"/>
              <w:rPr>
                <w:rFonts w:hint="eastAsia" w:ascii="仿宋_GB2312" w:hAnsi="仿宋_GB2312" w:eastAsia="仿宋_GB2312" w:cs="仿宋_GB2312"/>
                <w:i w:val="0"/>
                <w:iCs w:val="0"/>
                <w:color w:val="000000"/>
                <w:sz w:val="18"/>
                <w:szCs w:val="18"/>
                <w:u w:val="none"/>
              </w:rPr>
            </w:pPr>
          </w:p>
        </w:tc>
        <w:tc>
          <w:tcPr>
            <w:tcW w:w="2344" w:type="dxa"/>
            <w:gridSpan w:val="2"/>
            <w:tcBorders>
              <w:top w:val="single" w:color="000000" w:sz="4" w:space="0"/>
              <w:left w:val="single" w:color="000000" w:sz="4" w:space="0"/>
              <w:bottom w:val="nil"/>
              <w:right w:val="single" w:color="000000" w:sz="4" w:space="0"/>
            </w:tcBorders>
            <w:shd w:val="clear" w:color="auto" w:fill="auto"/>
            <w:vAlign w:val="center"/>
          </w:tcPr>
          <w:p w14:paraId="7891FF1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其他资金</w:t>
            </w:r>
          </w:p>
        </w:tc>
        <w:tc>
          <w:tcPr>
            <w:tcW w:w="1140" w:type="dxa"/>
            <w:tcBorders>
              <w:top w:val="single" w:color="000000" w:sz="4" w:space="0"/>
              <w:left w:val="single" w:color="000000" w:sz="4" w:space="0"/>
              <w:bottom w:val="nil"/>
              <w:right w:val="single" w:color="000000" w:sz="4" w:space="0"/>
            </w:tcBorders>
            <w:shd w:val="clear" w:color="auto" w:fill="auto"/>
            <w:vAlign w:val="center"/>
          </w:tcPr>
          <w:p w14:paraId="0C96BBB6">
            <w:pPr>
              <w:jc w:val="center"/>
              <w:rPr>
                <w:rFonts w:hint="eastAsia" w:ascii="仿宋_GB2312" w:hAnsi="仿宋_GB2312" w:eastAsia="仿宋_GB2312" w:cs="仿宋_GB2312"/>
                <w:i w:val="0"/>
                <w:iCs w:val="0"/>
                <w:color w:val="000000"/>
                <w:sz w:val="18"/>
                <w:szCs w:val="18"/>
                <w:u w:val="none"/>
              </w:rPr>
            </w:pPr>
          </w:p>
        </w:tc>
        <w:tc>
          <w:tcPr>
            <w:tcW w:w="1890" w:type="dxa"/>
            <w:gridSpan w:val="2"/>
            <w:tcBorders>
              <w:top w:val="single" w:color="000000" w:sz="4" w:space="0"/>
              <w:left w:val="single" w:color="000000" w:sz="4" w:space="0"/>
              <w:bottom w:val="nil"/>
              <w:right w:val="single" w:color="000000" w:sz="4" w:space="0"/>
            </w:tcBorders>
            <w:shd w:val="clear" w:color="auto" w:fill="auto"/>
            <w:vAlign w:val="center"/>
          </w:tcPr>
          <w:p w14:paraId="4F008779">
            <w:pPr>
              <w:jc w:val="center"/>
              <w:rPr>
                <w:rFonts w:hint="eastAsia" w:ascii="仿宋_GB2312" w:hAnsi="仿宋_GB2312" w:eastAsia="仿宋_GB2312" w:cs="仿宋_GB2312"/>
                <w:i w:val="0"/>
                <w:iCs w:val="0"/>
                <w:color w:val="000000"/>
                <w:sz w:val="18"/>
                <w:szCs w:val="18"/>
                <w:u w:val="none"/>
              </w:rPr>
            </w:pPr>
          </w:p>
        </w:tc>
        <w:tc>
          <w:tcPr>
            <w:tcW w:w="2054" w:type="dxa"/>
            <w:gridSpan w:val="2"/>
            <w:tcBorders>
              <w:top w:val="single" w:color="000000" w:sz="4" w:space="0"/>
              <w:left w:val="single" w:color="000000" w:sz="4" w:space="0"/>
              <w:bottom w:val="nil"/>
              <w:right w:val="single" w:color="000000" w:sz="4" w:space="0"/>
            </w:tcBorders>
            <w:shd w:val="clear" w:color="auto" w:fill="auto"/>
            <w:vAlign w:val="center"/>
          </w:tcPr>
          <w:p w14:paraId="1ACFC4EA">
            <w:pPr>
              <w:jc w:val="center"/>
              <w:rPr>
                <w:rFonts w:hint="eastAsia" w:ascii="仿宋_GB2312" w:hAnsi="仿宋_GB2312" w:eastAsia="仿宋_GB2312" w:cs="仿宋_GB2312"/>
                <w:i w:val="0"/>
                <w:iCs w:val="0"/>
                <w:color w:val="000000"/>
                <w:sz w:val="18"/>
                <w:szCs w:val="18"/>
                <w:u w:val="none"/>
              </w:rPr>
            </w:pPr>
          </w:p>
        </w:tc>
        <w:tc>
          <w:tcPr>
            <w:tcW w:w="1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74493">
            <w:pPr>
              <w:jc w:val="center"/>
              <w:rPr>
                <w:rFonts w:hint="eastAsia" w:ascii="仿宋_GB2312" w:hAnsi="仿宋_GB2312" w:eastAsia="仿宋_GB2312" w:cs="仿宋_GB2312"/>
                <w:i w:val="0"/>
                <w:iCs w:val="0"/>
                <w:color w:val="000000"/>
                <w:sz w:val="18"/>
                <w:szCs w:val="18"/>
                <w:u w:val="none"/>
              </w:rPr>
            </w:pPr>
          </w:p>
        </w:tc>
        <w:tc>
          <w:tcPr>
            <w:tcW w:w="1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A2696">
            <w:pPr>
              <w:jc w:val="center"/>
              <w:rPr>
                <w:rFonts w:hint="eastAsia" w:ascii="仿宋_GB2312" w:hAnsi="仿宋_GB2312" w:eastAsia="仿宋_GB2312" w:cs="仿宋_GB2312"/>
                <w:i w:val="0"/>
                <w:iCs w:val="0"/>
                <w:color w:val="000000"/>
                <w:sz w:val="18"/>
                <w:szCs w:val="18"/>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59BC">
            <w:pPr>
              <w:jc w:val="center"/>
              <w:rPr>
                <w:rFonts w:hint="eastAsia" w:ascii="仿宋_GB2312" w:hAnsi="仿宋_GB2312" w:eastAsia="仿宋_GB2312" w:cs="仿宋_GB2312"/>
                <w:i w:val="0"/>
                <w:iCs w:val="0"/>
                <w:color w:val="000000"/>
                <w:sz w:val="18"/>
                <w:szCs w:val="18"/>
                <w:u w:val="none"/>
              </w:rPr>
            </w:pPr>
          </w:p>
        </w:tc>
      </w:tr>
      <w:tr w14:paraId="79A80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D80DF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年度总体目标</w:t>
            </w:r>
          </w:p>
        </w:tc>
        <w:tc>
          <w:tcPr>
            <w:tcW w:w="87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D9381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总体目标</w:t>
            </w:r>
          </w:p>
        </w:tc>
        <w:tc>
          <w:tcPr>
            <w:tcW w:w="45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C28DF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总体目标完成情况</w:t>
            </w:r>
          </w:p>
        </w:tc>
      </w:tr>
      <w:tr w14:paraId="4EF73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1666E">
            <w:pPr>
              <w:jc w:val="center"/>
              <w:rPr>
                <w:rFonts w:hint="eastAsia" w:ascii="仿宋_GB2312" w:hAnsi="仿宋_GB2312" w:eastAsia="仿宋_GB2312" w:cs="仿宋_GB2312"/>
                <w:i w:val="0"/>
                <w:iCs w:val="0"/>
                <w:color w:val="000000"/>
                <w:sz w:val="18"/>
                <w:szCs w:val="18"/>
                <w:u w:val="none"/>
              </w:rPr>
            </w:pPr>
          </w:p>
        </w:tc>
        <w:tc>
          <w:tcPr>
            <w:tcW w:w="872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E2ACC92">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保障区直机关单位2024年477名非在编工会会员福利费。</w:t>
            </w:r>
          </w:p>
        </w:tc>
        <w:tc>
          <w:tcPr>
            <w:tcW w:w="45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B9D07E">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lang w:val="en-US" w:eastAsia="zh-CN"/>
              </w:rPr>
              <w:t>截止2024年12月31日，此项目己完成477名非在编干部职工福利资金发放，通过项目开展有效提高职工生活水平。</w:t>
            </w:r>
          </w:p>
        </w:tc>
      </w:tr>
      <w:tr w14:paraId="73855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61603">
            <w:pPr>
              <w:jc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绩效指标</w:t>
            </w:r>
          </w:p>
        </w:tc>
        <w:tc>
          <w:tcPr>
            <w:tcW w:w="1292" w:type="dxa"/>
            <w:tcBorders>
              <w:top w:val="single" w:color="000000" w:sz="4" w:space="0"/>
              <w:left w:val="single" w:color="000000" w:sz="4" w:space="0"/>
              <w:bottom w:val="single" w:color="auto" w:sz="4" w:space="0"/>
              <w:right w:val="single" w:color="000000" w:sz="4" w:space="0"/>
            </w:tcBorders>
            <w:shd w:val="clear" w:color="auto" w:fill="auto"/>
            <w:vAlign w:val="center"/>
          </w:tcPr>
          <w:p w14:paraId="37DF1A7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一级指标</w:t>
            </w:r>
          </w:p>
        </w:tc>
        <w:tc>
          <w:tcPr>
            <w:tcW w:w="994" w:type="dxa"/>
            <w:tcBorders>
              <w:top w:val="single" w:color="000000" w:sz="4" w:space="0"/>
              <w:left w:val="single" w:color="000000" w:sz="4" w:space="0"/>
              <w:bottom w:val="single" w:color="auto" w:sz="4" w:space="0"/>
              <w:right w:val="single" w:color="000000" w:sz="4" w:space="0"/>
            </w:tcBorders>
            <w:shd w:val="clear" w:color="auto" w:fill="auto"/>
            <w:vAlign w:val="center"/>
          </w:tcPr>
          <w:p w14:paraId="10570C3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二级指标</w:t>
            </w:r>
          </w:p>
        </w:tc>
        <w:tc>
          <w:tcPr>
            <w:tcW w:w="1350" w:type="dxa"/>
            <w:tcBorders>
              <w:top w:val="single" w:color="000000" w:sz="4" w:space="0"/>
              <w:left w:val="single" w:color="000000" w:sz="4" w:space="0"/>
              <w:bottom w:val="single" w:color="auto" w:sz="4" w:space="0"/>
              <w:right w:val="single" w:color="000000" w:sz="4" w:space="0"/>
            </w:tcBorders>
            <w:shd w:val="clear" w:color="auto" w:fill="auto"/>
            <w:vAlign w:val="center"/>
          </w:tcPr>
          <w:p w14:paraId="089AA09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三级指标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235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指标值</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40F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指标值设置依据</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65B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上年完成值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31D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指标分值权重</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785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指标赋分规则</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6FA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佐证资料</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469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指标实际完成值</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1A9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完成率</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21E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指标得分</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334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偏差原因分析及改进措施</w:t>
            </w:r>
          </w:p>
        </w:tc>
      </w:tr>
      <w:tr w14:paraId="52770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1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3004F21">
            <w:pPr>
              <w:jc w:val="center"/>
              <w:rPr>
                <w:rFonts w:hint="eastAsia" w:ascii="仿宋_GB2312" w:hAnsi="仿宋_GB2312" w:eastAsia="仿宋_GB2312" w:cs="仿宋_GB2312"/>
                <w:i w:val="0"/>
                <w:iCs w:val="0"/>
                <w:color w:val="000000"/>
                <w:sz w:val="18"/>
                <w:szCs w:val="18"/>
                <w:u w:val="none"/>
              </w:rPr>
            </w:pPr>
            <w:bookmarkStart w:id="13" w:name="OLE_LINK8" w:colFirst="6" w:colLast="6"/>
          </w:p>
        </w:tc>
        <w:tc>
          <w:tcPr>
            <w:tcW w:w="12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2222C6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产出指标</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90CD4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数量指标</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755E079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资金涉及人数（人）</w:t>
            </w:r>
          </w:p>
        </w:tc>
        <w:tc>
          <w:tcPr>
            <w:tcW w:w="1140" w:type="dxa"/>
            <w:tcBorders>
              <w:top w:val="single" w:color="000000" w:sz="4" w:space="0"/>
              <w:left w:val="single" w:color="auto" w:sz="4" w:space="0"/>
              <w:bottom w:val="single" w:color="000000" w:sz="4" w:space="0"/>
              <w:right w:val="single" w:color="000000" w:sz="4" w:space="0"/>
            </w:tcBorders>
            <w:shd w:val="clear" w:color="auto" w:fill="auto"/>
            <w:vAlign w:val="center"/>
          </w:tcPr>
          <w:p w14:paraId="73672F4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=477人</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D7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历史标准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BB6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477人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033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949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按照完成比例赋分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DFC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工作资料</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275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477人</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7707">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bookmarkStart w:id="14" w:name="OLE_LINK9"/>
            <w:r>
              <w:rPr>
                <w:rFonts w:hint="eastAsia" w:ascii="仿宋_GB2312" w:hAnsi="仿宋_GB2312" w:eastAsia="仿宋_GB2312" w:cs="仿宋_GB2312"/>
                <w:i w:val="0"/>
                <w:iCs w:val="0"/>
                <w:color w:val="000000"/>
                <w:kern w:val="0"/>
                <w:sz w:val="18"/>
                <w:szCs w:val="18"/>
                <w:u w:val="none"/>
                <w:lang w:val="en-US" w:eastAsia="zh-CN" w:bidi="ar"/>
              </w:rPr>
              <w:t>100%</w:t>
            </w:r>
            <w:bookmarkEnd w:id="14"/>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BC39">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bookmarkStart w:id="15" w:name="OLE_LINK10"/>
            <w:r>
              <w:rPr>
                <w:rFonts w:hint="eastAsia" w:ascii="仿宋_GB2312" w:hAnsi="仿宋_GB2312" w:eastAsia="仿宋_GB2312" w:cs="仿宋_GB2312"/>
                <w:i w:val="0"/>
                <w:iCs w:val="0"/>
                <w:color w:val="000000"/>
                <w:kern w:val="0"/>
                <w:sz w:val="18"/>
                <w:szCs w:val="18"/>
                <w:u w:val="none"/>
                <w:lang w:val="en-US" w:eastAsia="zh-CN" w:bidi="ar"/>
              </w:rPr>
              <w:t>10</w:t>
            </w:r>
            <w:bookmarkEnd w:id="15"/>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8CE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无</w:t>
            </w:r>
          </w:p>
        </w:tc>
      </w:tr>
      <w:tr w14:paraId="40553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1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4294B8D">
            <w:pPr>
              <w:jc w:val="center"/>
              <w:rPr>
                <w:rFonts w:hint="eastAsia" w:ascii="仿宋_GB2312" w:hAnsi="仿宋_GB2312" w:eastAsia="仿宋_GB2312" w:cs="仿宋_GB2312"/>
                <w:i w:val="0"/>
                <w:iCs w:val="0"/>
                <w:color w:val="000000"/>
                <w:sz w:val="18"/>
                <w:szCs w:val="18"/>
                <w:u w:val="none"/>
              </w:rPr>
            </w:pPr>
          </w:p>
        </w:tc>
        <w:tc>
          <w:tcPr>
            <w:tcW w:w="12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43C344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A3202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数量指标</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18F88C2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涉及使用资金工会（个）</w:t>
            </w:r>
          </w:p>
        </w:tc>
        <w:tc>
          <w:tcPr>
            <w:tcW w:w="1140" w:type="dxa"/>
            <w:tcBorders>
              <w:top w:val="single" w:color="000000" w:sz="4" w:space="0"/>
              <w:left w:val="single" w:color="auto" w:sz="4" w:space="0"/>
              <w:bottom w:val="single" w:color="000000" w:sz="4" w:space="0"/>
              <w:right w:val="single" w:color="000000" w:sz="4" w:space="0"/>
            </w:tcBorders>
            <w:shd w:val="clear" w:color="auto" w:fill="auto"/>
            <w:vAlign w:val="center"/>
          </w:tcPr>
          <w:p w14:paraId="1E781CA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=29个</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51F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历史标准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28E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29个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E43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BD2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按照完成比例赋分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B23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工作资料</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024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29个</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77C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CAD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393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无</w:t>
            </w:r>
          </w:p>
        </w:tc>
      </w:tr>
      <w:tr w14:paraId="57BFD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1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27DC630">
            <w:pPr>
              <w:jc w:val="center"/>
              <w:rPr>
                <w:rFonts w:hint="eastAsia" w:ascii="仿宋_GB2312" w:hAnsi="仿宋_GB2312" w:eastAsia="仿宋_GB2312" w:cs="仿宋_GB2312"/>
                <w:i w:val="0"/>
                <w:iCs w:val="0"/>
                <w:color w:val="000000"/>
                <w:sz w:val="18"/>
                <w:szCs w:val="18"/>
                <w:u w:val="none"/>
              </w:rPr>
            </w:pPr>
          </w:p>
        </w:tc>
        <w:tc>
          <w:tcPr>
            <w:tcW w:w="12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D305CAD">
            <w:pPr>
              <w:jc w:val="center"/>
              <w:rPr>
                <w:rFonts w:hint="eastAsia" w:ascii="仿宋_GB2312" w:hAnsi="仿宋_GB2312" w:eastAsia="仿宋_GB2312" w:cs="仿宋_GB2312"/>
                <w:i w:val="0"/>
                <w:iCs w:val="0"/>
                <w:color w:val="000000"/>
                <w:sz w:val="18"/>
                <w:szCs w:val="18"/>
                <w:u w:val="none"/>
              </w:rPr>
            </w:pP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14:paraId="4B144D1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质量指标</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33699D9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资金支付准确率</w:t>
            </w:r>
          </w:p>
        </w:tc>
        <w:tc>
          <w:tcPr>
            <w:tcW w:w="1140" w:type="dxa"/>
            <w:tcBorders>
              <w:top w:val="single" w:color="000000" w:sz="4" w:space="0"/>
              <w:left w:val="single" w:color="auto" w:sz="4" w:space="0"/>
              <w:bottom w:val="single" w:color="000000" w:sz="4" w:space="0"/>
              <w:right w:val="single" w:color="000000" w:sz="4" w:space="0"/>
            </w:tcBorders>
            <w:shd w:val="clear" w:color="auto" w:fill="auto"/>
            <w:vAlign w:val="center"/>
          </w:tcPr>
          <w:p w14:paraId="02BE6A8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&gt;=95%</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99B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历史标准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BBC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3E0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45B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按照完成比例赋分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BBE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工作资料</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F10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9A8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105%</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252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CCB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无</w:t>
            </w:r>
          </w:p>
        </w:tc>
      </w:tr>
      <w:tr w14:paraId="5C242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17"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3C64B93B">
            <w:pPr>
              <w:jc w:val="center"/>
              <w:rPr>
                <w:rFonts w:hint="eastAsia" w:ascii="仿宋_GB2312" w:hAnsi="仿宋_GB2312" w:eastAsia="仿宋_GB2312" w:cs="仿宋_GB2312"/>
                <w:i w:val="0"/>
                <w:iCs w:val="0"/>
                <w:color w:val="000000"/>
                <w:sz w:val="18"/>
                <w:szCs w:val="18"/>
                <w:u w:val="none"/>
              </w:rPr>
            </w:pPr>
          </w:p>
        </w:tc>
        <w:tc>
          <w:tcPr>
            <w:tcW w:w="12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799DB41">
            <w:pPr>
              <w:jc w:val="center"/>
              <w:rPr>
                <w:rFonts w:hint="eastAsia" w:ascii="仿宋_GB2312" w:hAnsi="仿宋_GB2312" w:eastAsia="仿宋_GB2312" w:cs="仿宋_GB2312"/>
                <w:i w:val="0"/>
                <w:iCs w:val="0"/>
                <w:color w:val="000000"/>
                <w:sz w:val="18"/>
                <w:szCs w:val="18"/>
                <w:u w:val="none"/>
              </w:rPr>
            </w:pP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6A6AF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时效指标</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7EC486B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资金支付及时率</w:t>
            </w:r>
          </w:p>
        </w:tc>
        <w:tc>
          <w:tcPr>
            <w:tcW w:w="1140" w:type="dxa"/>
            <w:tcBorders>
              <w:top w:val="single" w:color="000000" w:sz="4" w:space="0"/>
              <w:left w:val="single" w:color="auto" w:sz="4" w:space="0"/>
              <w:bottom w:val="single" w:color="000000" w:sz="4" w:space="0"/>
              <w:right w:val="single" w:color="000000" w:sz="4" w:space="0"/>
            </w:tcBorders>
            <w:shd w:val="clear" w:color="auto" w:fill="auto"/>
            <w:vAlign w:val="center"/>
          </w:tcPr>
          <w:p w14:paraId="2668ABE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&gt;=95%</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22E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历史标准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9A3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040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50F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按照完成比例赋分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D30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工作资料</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826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2C3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bookmarkStart w:id="16" w:name="OLE_LINK11"/>
            <w:r>
              <w:rPr>
                <w:rFonts w:hint="eastAsia" w:ascii="仿宋_GB2312" w:hAnsi="仿宋_GB2312" w:eastAsia="仿宋_GB2312" w:cs="仿宋_GB2312"/>
                <w:i w:val="0"/>
                <w:iCs w:val="0"/>
                <w:color w:val="000000"/>
                <w:kern w:val="0"/>
                <w:sz w:val="18"/>
                <w:szCs w:val="18"/>
                <w:u w:val="none"/>
                <w:lang w:val="en-US" w:eastAsia="zh-CN" w:bidi="ar"/>
              </w:rPr>
              <w:t>105%</w:t>
            </w:r>
            <w:bookmarkEnd w:id="16"/>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550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8C8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无</w:t>
            </w:r>
          </w:p>
        </w:tc>
      </w:tr>
      <w:bookmarkEnd w:id="13"/>
      <w:tr w14:paraId="2CDBA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914A5">
            <w:pPr>
              <w:jc w:val="center"/>
              <w:rPr>
                <w:rFonts w:hint="eastAsia" w:ascii="仿宋_GB2312" w:hAnsi="仿宋_GB2312" w:eastAsia="仿宋_GB2312" w:cs="仿宋_GB2312"/>
                <w:i w:val="0"/>
                <w:iCs w:val="0"/>
                <w:color w:val="000000"/>
                <w:sz w:val="18"/>
                <w:szCs w:val="18"/>
                <w:u w:val="none"/>
              </w:rPr>
            </w:pPr>
          </w:p>
        </w:tc>
        <w:tc>
          <w:tcPr>
            <w:tcW w:w="1292" w:type="dxa"/>
            <w:tcBorders>
              <w:top w:val="single" w:color="auto" w:sz="4" w:space="0"/>
              <w:left w:val="single" w:color="000000" w:sz="4" w:space="0"/>
              <w:bottom w:val="single" w:color="000000" w:sz="4" w:space="0"/>
              <w:right w:val="single" w:color="000000" w:sz="4" w:space="0"/>
            </w:tcBorders>
            <w:shd w:val="clear" w:color="auto" w:fill="auto"/>
            <w:vAlign w:val="center"/>
          </w:tcPr>
          <w:p w14:paraId="7A312EAA">
            <w:pPr>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成本指标</w:t>
            </w:r>
          </w:p>
        </w:tc>
        <w:tc>
          <w:tcPr>
            <w:tcW w:w="994" w:type="dxa"/>
            <w:tcBorders>
              <w:top w:val="single" w:color="auto" w:sz="4" w:space="0"/>
              <w:left w:val="single" w:color="000000" w:sz="4" w:space="0"/>
              <w:bottom w:val="nil"/>
              <w:right w:val="single" w:color="000000" w:sz="4" w:space="0"/>
            </w:tcBorders>
            <w:shd w:val="clear" w:color="auto" w:fill="auto"/>
            <w:noWrap/>
            <w:vAlign w:val="center"/>
          </w:tcPr>
          <w:p w14:paraId="54D2F81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highlight w:val="red"/>
                <w:u w:val="none"/>
                <w:lang w:val="en-US" w:eastAsia="zh-CN" w:bidi="ar"/>
              </w:rPr>
            </w:pPr>
            <w:r>
              <w:rPr>
                <w:rFonts w:hint="eastAsia" w:ascii="仿宋_GB2312" w:hAnsi="仿宋_GB2312" w:eastAsia="仿宋_GB2312" w:cs="仿宋_GB2312"/>
                <w:i w:val="0"/>
                <w:iCs w:val="0"/>
                <w:color w:val="000000"/>
                <w:kern w:val="0"/>
                <w:sz w:val="18"/>
                <w:szCs w:val="18"/>
                <w:highlight w:val="none"/>
                <w:u w:val="none"/>
                <w:lang w:val="en-US" w:eastAsia="zh-CN" w:bidi="ar"/>
              </w:rPr>
              <w:t>经济成本指标</w:t>
            </w:r>
          </w:p>
        </w:tc>
        <w:tc>
          <w:tcPr>
            <w:tcW w:w="1350" w:type="dxa"/>
            <w:tcBorders>
              <w:top w:val="single" w:color="auto" w:sz="4" w:space="0"/>
              <w:left w:val="single" w:color="000000" w:sz="4" w:space="0"/>
              <w:bottom w:val="single" w:color="000000" w:sz="4" w:space="0"/>
              <w:right w:val="single" w:color="000000" w:sz="4" w:space="0"/>
            </w:tcBorders>
            <w:shd w:val="clear" w:color="auto" w:fill="auto"/>
            <w:vAlign w:val="center"/>
          </w:tcPr>
          <w:p w14:paraId="290CC084">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资金拨付标准（元/人/年）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155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color w:val="000000"/>
                <w:kern w:val="0"/>
                <w:sz w:val="20"/>
                <w:szCs w:val="20"/>
                <w:u w:val="none"/>
                <w:lang w:val="en-US" w:eastAsia="zh-CN" w:bidi="ar"/>
              </w:rPr>
              <w:t>&lt;=700元/人/年</w:t>
            </w:r>
          </w:p>
        </w:tc>
        <w:tc>
          <w:tcPr>
            <w:tcW w:w="1010" w:type="dxa"/>
            <w:tcBorders>
              <w:top w:val="single" w:color="000000" w:sz="4" w:space="0"/>
              <w:left w:val="single" w:color="000000" w:sz="4" w:space="0"/>
              <w:bottom w:val="nil"/>
              <w:right w:val="single" w:color="000000" w:sz="4" w:space="0"/>
            </w:tcBorders>
            <w:shd w:val="clear" w:color="auto" w:fill="auto"/>
            <w:vAlign w:val="center"/>
          </w:tcPr>
          <w:p w14:paraId="3222512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color w:val="000000"/>
                <w:kern w:val="0"/>
                <w:sz w:val="20"/>
                <w:szCs w:val="20"/>
                <w:u w:val="none"/>
                <w:lang w:val="en-US" w:eastAsia="zh-CN" w:bidi="ar"/>
              </w:rPr>
              <w:t>预算支出标准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513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color w:val="000000"/>
                <w:kern w:val="0"/>
                <w:sz w:val="20"/>
                <w:szCs w:val="20"/>
                <w:u w:val="none"/>
                <w:lang w:val="en-US" w:eastAsia="zh-CN" w:bidi="ar"/>
              </w:rPr>
              <w:t>700元/人/年</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1AF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color w:val="000000"/>
                <w:kern w:val="0"/>
                <w:sz w:val="20"/>
                <w:szCs w:val="20"/>
                <w:u w:val="none"/>
                <w:lang w:val="en-US" w:eastAsia="zh-CN" w:bidi="ar"/>
              </w:rPr>
              <w:t>20</w:t>
            </w:r>
          </w:p>
        </w:tc>
        <w:tc>
          <w:tcPr>
            <w:tcW w:w="1184" w:type="dxa"/>
            <w:tcBorders>
              <w:top w:val="single" w:color="000000" w:sz="4" w:space="0"/>
              <w:left w:val="single" w:color="000000" w:sz="4" w:space="0"/>
              <w:bottom w:val="nil"/>
              <w:right w:val="single" w:color="000000" w:sz="4" w:space="0"/>
            </w:tcBorders>
            <w:shd w:val="clear" w:color="auto" w:fill="auto"/>
            <w:vAlign w:val="center"/>
          </w:tcPr>
          <w:p w14:paraId="6597959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color w:val="000000"/>
                <w:kern w:val="0"/>
                <w:sz w:val="20"/>
                <w:szCs w:val="20"/>
                <w:u w:val="none"/>
                <w:lang w:val="en-US" w:eastAsia="zh-CN" w:bidi="ar"/>
              </w:rPr>
              <w:t>按照完成比例赋分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242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color w:val="000000"/>
                <w:kern w:val="0"/>
                <w:sz w:val="20"/>
                <w:szCs w:val="20"/>
                <w:u w:val="none"/>
                <w:lang w:val="en-US" w:eastAsia="zh-CN" w:bidi="ar"/>
              </w:rPr>
              <w:t>原始凭证</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049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color w:val="000000"/>
                <w:kern w:val="0"/>
                <w:sz w:val="20"/>
                <w:szCs w:val="20"/>
                <w:u w:val="none"/>
                <w:lang w:val="en-US" w:eastAsia="zh-CN" w:bidi="ar"/>
              </w:rPr>
              <w:t>700元/人/年</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164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7ED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cs="宋体"/>
                <w:i w:val="0"/>
                <w:color w:val="000000"/>
                <w:kern w:val="0"/>
                <w:sz w:val="20"/>
                <w:szCs w:val="20"/>
                <w:u w:val="none"/>
                <w:lang w:val="en-US" w:eastAsia="zh-CN" w:bidi="ar"/>
              </w:rPr>
              <w:t>10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23AD">
            <w:pPr>
              <w:jc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无</w:t>
            </w:r>
          </w:p>
        </w:tc>
      </w:tr>
      <w:tr w14:paraId="0B23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3BFF">
            <w:pPr>
              <w:jc w:val="center"/>
              <w:rPr>
                <w:rFonts w:hint="eastAsia" w:ascii="仿宋_GB2312" w:hAnsi="仿宋_GB2312" w:eastAsia="仿宋_GB2312" w:cs="仿宋_GB2312"/>
                <w:i w:val="0"/>
                <w:iCs w:val="0"/>
                <w:color w:val="000000"/>
                <w:sz w:val="18"/>
                <w:szCs w:val="18"/>
                <w:u w:val="none"/>
              </w:rPr>
            </w:pPr>
            <w:bookmarkStart w:id="17" w:name="OLE_LINK12" w:colFirst="4" w:colLast="4"/>
          </w:p>
        </w:tc>
        <w:tc>
          <w:tcPr>
            <w:tcW w:w="1292" w:type="dxa"/>
            <w:tcBorders>
              <w:top w:val="single" w:color="000000" w:sz="4" w:space="0"/>
              <w:left w:val="single" w:color="000000" w:sz="4" w:space="0"/>
              <w:right w:val="single" w:color="000000" w:sz="4" w:space="0"/>
            </w:tcBorders>
            <w:shd w:val="clear" w:color="auto" w:fill="auto"/>
            <w:vAlign w:val="center"/>
          </w:tcPr>
          <w:p w14:paraId="533B4C62">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效益指标</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05E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社会效益指标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DB6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color w:val="000000"/>
                <w:kern w:val="0"/>
                <w:sz w:val="20"/>
                <w:szCs w:val="20"/>
                <w:u w:val="none"/>
                <w:lang w:val="en-US" w:eastAsia="zh-CN" w:bidi="ar"/>
              </w:rPr>
              <w:t>提高职工生活水平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390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color w:val="000000"/>
                <w:kern w:val="0"/>
                <w:sz w:val="20"/>
                <w:szCs w:val="20"/>
                <w:u w:val="none"/>
                <w:lang w:val="en-US" w:eastAsia="zh-CN" w:bidi="ar"/>
              </w:rPr>
              <w:t>有效提高</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E3A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color w:val="000000"/>
                <w:kern w:val="0"/>
                <w:sz w:val="20"/>
                <w:szCs w:val="20"/>
                <w:u w:val="none"/>
                <w:lang w:val="en-US" w:eastAsia="zh-CN" w:bidi="ar"/>
              </w:rPr>
              <w:t>计划标准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57C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A48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color w:val="000000"/>
                <w:kern w:val="0"/>
                <w:sz w:val="20"/>
                <w:szCs w:val="20"/>
                <w:u w:val="none"/>
                <w:lang w:val="en-US" w:eastAsia="zh-CN" w:bidi="ar"/>
              </w:rPr>
              <w:t>20</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6CC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color w:val="000000"/>
                <w:kern w:val="0"/>
                <w:sz w:val="20"/>
                <w:szCs w:val="20"/>
                <w:u w:val="none"/>
                <w:lang w:val="en-US" w:eastAsia="zh-CN" w:bidi="ar"/>
              </w:rPr>
              <w:t>按评判等级赋分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EBD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color w:val="000000"/>
                <w:kern w:val="0"/>
                <w:sz w:val="20"/>
                <w:szCs w:val="20"/>
                <w:u w:val="none"/>
                <w:lang w:val="en-US" w:eastAsia="zh-CN" w:bidi="ar"/>
              </w:rPr>
              <w:t>说明材料</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6C4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cs="宋体"/>
                <w:i w:val="0"/>
                <w:color w:val="000000"/>
                <w:kern w:val="0"/>
                <w:sz w:val="20"/>
                <w:szCs w:val="20"/>
                <w:u w:val="none"/>
                <w:lang w:val="en-US" w:eastAsia="zh-CN" w:bidi="ar"/>
              </w:rPr>
              <w:t>完全达到预期</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B015">
            <w:pPr>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100%</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ABD7">
            <w:pPr>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20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AE51">
            <w:pPr>
              <w:jc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无</w:t>
            </w:r>
          </w:p>
        </w:tc>
      </w:tr>
      <w:bookmarkEnd w:id="17"/>
      <w:tr w14:paraId="7F119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9E93">
            <w:pPr>
              <w:jc w:val="center"/>
              <w:rPr>
                <w:rFonts w:hint="eastAsia" w:ascii="仿宋_GB2312" w:hAnsi="仿宋_GB2312" w:eastAsia="仿宋_GB2312" w:cs="仿宋_GB2312"/>
                <w:i w:val="0"/>
                <w:iCs w:val="0"/>
                <w:color w:val="000000"/>
                <w:sz w:val="18"/>
                <w:szCs w:val="18"/>
                <w:u w:val="none"/>
              </w:rPr>
            </w:pPr>
            <w:bookmarkStart w:id="18" w:name="OLE_LINK13" w:colFirst="4" w:colLast="4"/>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BAB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满意度指标</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974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满意度指标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93C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color w:val="000000"/>
                <w:kern w:val="0"/>
                <w:sz w:val="20"/>
                <w:szCs w:val="20"/>
                <w:u w:val="none"/>
                <w:lang w:val="en-US" w:eastAsia="zh-CN" w:bidi="ar"/>
              </w:rPr>
              <w:t>受益会员满意度（%）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FD5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color w:val="000000"/>
                <w:kern w:val="0"/>
                <w:sz w:val="20"/>
                <w:szCs w:val="20"/>
                <w:u w:val="none"/>
                <w:lang w:val="en-US" w:eastAsia="zh-CN" w:bidi="ar"/>
              </w:rPr>
              <w:t>&gt;=95%</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56D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color w:val="000000"/>
                <w:kern w:val="0"/>
                <w:sz w:val="20"/>
                <w:szCs w:val="20"/>
                <w:u w:val="none"/>
                <w:lang w:val="en-US" w:eastAsia="zh-CN" w:bidi="ar"/>
              </w:rPr>
              <w:t>计划标准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E5C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F37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color w:val="000000"/>
                <w:kern w:val="0"/>
                <w:sz w:val="20"/>
                <w:szCs w:val="20"/>
                <w:u w:val="none"/>
                <w:lang w:val="en-US" w:eastAsia="zh-CN" w:bidi="ar"/>
              </w:rPr>
              <w:t>10</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A0E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color w:val="000000"/>
                <w:kern w:val="0"/>
                <w:sz w:val="20"/>
                <w:szCs w:val="20"/>
                <w:u w:val="none"/>
                <w:lang w:val="en-US" w:eastAsia="zh-CN" w:bidi="ar"/>
              </w:rPr>
              <w:t>满意度赋分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E49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color w:val="000000"/>
                <w:kern w:val="0"/>
                <w:sz w:val="20"/>
                <w:szCs w:val="20"/>
                <w:u w:val="none"/>
                <w:lang w:val="en-US" w:eastAsia="zh-CN" w:bidi="ar"/>
              </w:rPr>
              <w:t>工作资料</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B1E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color w:val="000000"/>
                <w:kern w:val="0"/>
                <w:sz w:val="20"/>
                <w:szCs w:val="20"/>
                <w:u w:val="none"/>
                <w:lang w:val="en-US" w:eastAsia="zh-CN" w:bidi="ar"/>
              </w:rPr>
              <w:t>95%</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C6DC">
            <w:pPr>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100%</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8A3C">
            <w:pPr>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A107">
            <w:pPr>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无</w:t>
            </w:r>
          </w:p>
        </w:tc>
      </w:tr>
      <w:bookmarkEnd w:id="18"/>
      <w:tr w14:paraId="098FF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553" w:type="dxa"/>
            <w:gridSpan w:val="4"/>
            <w:tcBorders>
              <w:top w:val="single" w:color="000000" w:sz="4" w:space="0"/>
              <w:left w:val="single" w:color="000000" w:sz="4" w:space="0"/>
              <w:bottom w:val="single" w:color="000000" w:sz="4" w:space="0"/>
              <w:right w:val="nil"/>
            </w:tcBorders>
            <w:shd w:val="clear" w:color="auto" w:fill="auto"/>
            <w:vAlign w:val="center"/>
          </w:tcPr>
          <w:p w14:paraId="64F4012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总分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A577">
            <w:pPr>
              <w:jc w:val="center"/>
              <w:rPr>
                <w:rFonts w:hint="eastAsia" w:ascii="仿宋_GB2312" w:hAnsi="仿宋_GB2312" w:eastAsia="仿宋_GB2312" w:cs="仿宋_GB2312"/>
                <w:i w:val="0"/>
                <w:iCs w:val="0"/>
                <w:color w:val="000000"/>
                <w:sz w:val="18"/>
                <w:szCs w:val="18"/>
                <w:u w:val="none"/>
              </w:rPr>
            </w:pPr>
          </w:p>
        </w:tc>
        <w:tc>
          <w:tcPr>
            <w:tcW w:w="1010" w:type="dxa"/>
            <w:tcBorders>
              <w:top w:val="single" w:color="000000" w:sz="4" w:space="0"/>
              <w:left w:val="nil"/>
              <w:bottom w:val="single" w:color="000000" w:sz="4" w:space="0"/>
              <w:right w:val="single" w:color="000000" w:sz="4" w:space="0"/>
            </w:tcBorders>
            <w:shd w:val="clear" w:color="auto" w:fill="auto"/>
            <w:vAlign w:val="center"/>
          </w:tcPr>
          <w:p w14:paraId="70EB3F80">
            <w:pPr>
              <w:rPr>
                <w:rFonts w:hint="eastAsia" w:ascii="仿宋_GB2312" w:hAnsi="仿宋_GB2312" w:eastAsia="仿宋_GB2312" w:cs="仿宋_GB2312"/>
                <w:b/>
                <w:bCs/>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7EBD">
            <w:pPr>
              <w:jc w:val="center"/>
              <w:rPr>
                <w:rFonts w:hint="eastAsia" w:ascii="仿宋_GB2312" w:hAnsi="仿宋_GB2312" w:eastAsia="仿宋_GB2312" w:cs="仿宋_GB2312"/>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1FA0">
            <w:pPr>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100</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2273">
            <w:pPr>
              <w:jc w:val="center"/>
              <w:rPr>
                <w:rFonts w:hint="eastAsia" w:ascii="仿宋_GB2312" w:hAnsi="仿宋_GB2312" w:eastAsia="仿宋_GB2312" w:cs="仿宋_GB2312"/>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3594">
            <w:pPr>
              <w:rPr>
                <w:rFonts w:hint="eastAsia" w:ascii="仿宋_GB2312" w:hAnsi="仿宋_GB2312" w:eastAsia="仿宋_GB2312" w:cs="仿宋_GB2312"/>
                <w:i w:val="0"/>
                <w:iCs w:val="0"/>
                <w:color w:val="000000"/>
                <w:sz w:val="18"/>
                <w:szCs w:val="1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F05B">
            <w:pPr>
              <w:rPr>
                <w:rFonts w:hint="eastAsia" w:ascii="仿宋_GB2312" w:hAnsi="仿宋_GB2312" w:eastAsia="仿宋_GB2312" w:cs="仿宋_GB2312"/>
                <w:i w:val="0"/>
                <w:iCs w:val="0"/>
                <w:color w:val="000000"/>
                <w:sz w:val="18"/>
                <w:szCs w:val="18"/>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5295">
            <w:pPr>
              <w:rPr>
                <w:rFonts w:hint="eastAsia" w:ascii="仿宋_GB2312" w:hAnsi="仿宋_GB2312" w:eastAsia="仿宋_GB2312" w:cs="仿宋_GB2312"/>
                <w:i w:val="0"/>
                <w:iCs w:val="0"/>
                <w:color w:val="000000"/>
                <w:sz w:val="18"/>
                <w:szCs w:val="18"/>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C1CB">
            <w:pPr>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ECBF">
            <w:pPr>
              <w:rPr>
                <w:rFonts w:hint="eastAsia" w:ascii="仿宋_GB2312" w:hAnsi="仿宋_GB2312" w:eastAsia="仿宋_GB2312" w:cs="仿宋_GB2312"/>
                <w:i w:val="0"/>
                <w:iCs w:val="0"/>
                <w:color w:val="000000"/>
                <w:sz w:val="18"/>
                <w:szCs w:val="18"/>
                <w:u w:val="none"/>
              </w:rPr>
            </w:pPr>
          </w:p>
        </w:tc>
      </w:tr>
    </w:tbl>
    <w:p w14:paraId="59ADCD40">
      <w:pPr>
        <w:rPr>
          <w:rFonts w:hint="default" w:ascii="Times New Roman" w:hAnsi="Times New Roman" w:cs="Times New Roman"/>
        </w:rPr>
      </w:pPr>
    </w:p>
    <w:sectPr>
      <w:pgSz w:w="16838" w:h="11906" w:orient="landscape"/>
      <w:pgMar w:top="1800" w:right="1440" w:bottom="15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962"/>
    </w:sdtPr>
    <w:sdtContent>
      <w:p w14:paraId="2DB64C8A">
        <w:pPr>
          <w:pStyle w:val="7"/>
          <w:jc w:val="center"/>
        </w:pPr>
        <w:r>
          <w:fldChar w:fldCharType="begin"/>
        </w:r>
        <w:r>
          <w:instrText xml:space="preserve">PAGE   \* MERGEFORMAT</w:instrText>
        </w:r>
        <w:r>
          <w:fldChar w:fldCharType="separate"/>
        </w:r>
        <w:r>
          <w:rPr>
            <w:lang w:val="zh-CN"/>
          </w:rPr>
          <w:t>13</w:t>
        </w:r>
        <w:r>
          <w:fldChar w:fldCharType="end"/>
        </w:r>
      </w:p>
    </w:sdtContent>
  </w:sdt>
  <w:p w14:paraId="2D4BA898">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CD2B0F"/>
    <w:multiLevelType w:val="singleLevel"/>
    <w:tmpl w:val="F4CD2B0F"/>
    <w:lvl w:ilvl="0" w:tentative="0">
      <w:start w:val="1"/>
      <w:numFmt w:val="decimal"/>
      <w:suff w:val="nothing"/>
      <w:lvlText w:val="（%1）"/>
      <w:lvlJc w:val="left"/>
    </w:lvl>
  </w:abstractNum>
  <w:abstractNum w:abstractNumId="1">
    <w:nsid w:val="FF9379A8"/>
    <w:multiLevelType w:val="singleLevel"/>
    <w:tmpl w:val="FF9379A8"/>
    <w:lvl w:ilvl="0" w:tentative="0">
      <w:start w:val="2"/>
      <w:numFmt w:val="chineseCounting"/>
      <w:suff w:val="nothing"/>
      <w:lvlText w:val="（%1）"/>
      <w:lvlJc w:val="left"/>
      <w:rPr>
        <w:rFonts w:hint="eastAsia"/>
      </w:rPr>
    </w:lvl>
  </w:abstractNum>
  <w:abstractNum w:abstractNumId="2">
    <w:nsid w:val="116B29BF"/>
    <w:multiLevelType w:val="singleLevel"/>
    <w:tmpl w:val="116B29BF"/>
    <w:lvl w:ilvl="0" w:tentative="0">
      <w:start w:val="3"/>
      <w:numFmt w:val="chineseCounting"/>
      <w:suff w:val="nothing"/>
      <w:lvlText w:val="%1、"/>
      <w:lvlJc w:val="left"/>
      <w:rPr>
        <w:rFonts w:hint="eastAsia"/>
      </w:rPr>
    </w:lvl>
  </w:abstractNum>
  <w:abstractNum w:abstractNumId="3">
    <w:nsid w:val="27813159"/>
    <w:multiLevelType w:val="singleLevel"/>
    <w:tmpl w:val="27813159"/>
    <w:lvl w:ilvl="0" w:tentative="0">
      <w:start w:val="3"/>
      <w:numFmt w:val="chineseCounting"/>
      <w:suff w:val="nothing"/>
      <w:lvlText w:val="（%1）"/>
      <w:lvlJc w:val="left"/>
      <w:rPr>
        <w:rFonts w:hint="eastAsia"/>
      </w:rPr>
    </w:lvl>
  </w:abstractNum>
  <w:abstractNum w:abstractNumId="4">
    <w:nsid w:val="6FAA0AB1"/>
    <w:multiLevelType w:val="singleLevel"/>
    <w:tmpl w:val="6FAA0AB1"/>
    <w:lvl w:ilvl="0" w:tentative="0">
      <w:start w:val="2"/>
      <w:numFmt w:val="chineseCounting"/>
      <w:suff w:val="nothing"/>
      <w:lvlText w:val="（%1）"/>
      <w:lvlJc w:val="left"/>
      <w:rPr>
        <w:rFonts w:hint="eastAsia"/>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iOGM5NzlhN2JhOTc3OTljZTBmY2FhN2MzNTk3ODEifQ=="/>
  </w:docVars>
  <w:rsids>
    <w:rsidRoot w:val="FF6C4049"/>
    <w:rsid w:val="006F7242"/>
    <w:rsid w:val="007B168A"/>
    <w:rsid w:val="008B2CFE"/>
    <w:rsid w:val="00F26FF6"/>
    <w:rsid w:val="013637D1"/>
    <w:rsid w:val="01610122"/>
    <w:rsid w:val="02510197"/>
    <w:rsid w:val="03EC461B"/>
    <w:rsid w:val="07397B77"/>
    <w:rsid w:val="0AD007F3"/>
    <w:rsid w:val="0E3C619F"/>
    <w:rsid w:val="0ED72051"/>
    <w:rsid w:val="0F6273CA"/>
    <w:rsid w:val="100F38EC"/>
    <w:rsid w:val="11170296"/>
    <w:rsid w:val="12C66037"/>
    <w:rsid w:val="12CD1ABC"/>
    <w:rsid w:val="13471461"/>
    <w:rsid w:val="13B90F01"/>
    <w:rsid w:val="155E4C4D"/>
    <w:rsid w:val="181066D2"/>
    <w:rsid w:val="19A13A32"/>
    <w:rsid w:val="1C671E73"/>
    <w:rsid w:val="1D322C47"/>
    <w:rsid w:val="23616034"/>
    <w:rsid w:val="23696C97"/>
    <w:rsid w:val="24480FA2"/>
    <w:rsid w:val="25227A45"/>
    <w:rsid w:val="254E268F"/>
    <w:rsid w:val="26AC3A6A"/>
    <w:rsid w:val="283E1D2D"/>
    <w:rsid w:val="29E11790"/>
    <w:rsid w:val="2B9D7E25"/>
    <w:rsid w:val="2C7C7A3B"/>
    <w:rsid w:val="2CEB3A61"/>
    <w:rsid w:val="2F364819"/>
    <w:rsid w:val="2FD63906"/>
    <w:rsid w:val="32903928"/>
    <w:rsid w:val="32FE4E9B"/>
    <w:rsid w:val="33C06DA7"/>
    <w:rsid w:val="37215DAE"/>
    <w:rsid w:val="38BF587F"/>
    <w:rsid w:val="38CA40DD"/>
    <w:rsid w:val="395F2B56"/>
    <w:rsid w:val="3B482032"/>
    <w:rsid w:val="3BBA0580"/>
    <w:rsid w:val="3BECE841"/>
    <w:rsid w:val="3CDE204C"/>
    <w:rsid w:val="3D363C36"/>
    <w:rsid w:val="3E9C3F6D"/>
    <w:rsid w:val="3FF7797D"/>
    <w:rsid w:val="4068438D"/>
    <w:rsid w:val="40844CFA"/>
    <w:rsid w:val="46690BD8"/>
    <w:rsid w:val="49F70BF1"/>
    <w:rsid w:val="4B4340EE"/>
    <w:rsid w:val="503D507A"/>
    <w:rsid w:val="51FA74D0"/>
    <w:rsid w:val="52AA4A52"/>
    <w:rsid w:val="531B0CA3"/>
    <w:rsid w:val="5385134F"/>
    <w:rsid w:val="539D3AD1"/>
    <w:rsid w:val="54540EAD"/>
    <w:rsid w:val="59943D66"/>
    <w:rsid w:val="59E051FD"/>
    <w:rsid w:val="59E6355E"/>
    <w:rsid w:val="5B821531"/>
    <w:rsid w:val="5B950C77"/>
    <w:rsid w:val="5BFF6039"/>
    <w:rsid w:val="5D76A616"/>
    <w:rsid w:val="5D7F20B9"/>
    <w:rsid w:val="5DAC7D0E"/>
    <w:rsid w:val="5F98B5AF"/>
    <w:rsid w:val="5FFE8511"/>
    <w:rsid w:val="5FFEACE2"/>
    <w:rsid w:val="609D5BF6"/>
    <w:rsid w:val="61073070"/>
    <w:rsid w:val="61B9080E"/>
    <w:rsid w:val="61DF3FED"/>
    <w:rsid w:val="62606CE8"/>
    <w:rsid w:val="62B57A6E"/>
    <w:rsid w:val="642B176B"/>
    <w:rsid w:val="643EE26D"/>
    <w:rsid w:val="656019A0"/>
    <w:rsid w:val="65F242EE"/>
    <w:rsid w:val="666D7E19"/>
    <w:rsid w:val="68376930"/>
    <w:rsid w:val="68F91E38"/>
    <w:rsid w:val="6B3158B9"/>
    <w:rsid w:val="6BA02A3F"/>
    <w:rsid w:val="6C105349"/>
    <w:rsid w:val="6C1E5A53"/>
    <w:rsid w:val="6C997846"/>
    <w:rsid w:val="6F5C41AC"/>
    <w:rsid w:val="6FAF6C78"/>
    <w:rsid w:val="70AD3C34"/>
    <w:rsid w:val="716167CC"/>
    <w:rsid w:val="718A7AD1"/>
    <w:rsid w:val="72A44BC2"/>
    <w:rsid w:val="7317C656"/>
    <w:rsid w:val="734ED73F"/>
    <w:rsid w:val="73C82B32"/>
    <w:rsid w:val="73F94DAE"/>
    <w:rsid w:val="74220495"/>
    <w:rsid w:val="747D1B6F"/>
    <w:rsid w:val="749E5641"/>
    <w:rsid w:val="76271066"/>
    <w:rsid w:val="77FD8BE9"/>
    <w:rsid w:val="78000AED"/>
    <w:rsid w:val="78036054"/>
    <w:rsid w:val="78173C96"/>
    <w:rsid w:val="79A9BD3F"/>
    <w:rsid w:val="7AC5270E"/>
    <w:rsid w:val="7B776F12"/>
    <w:rsid w:val="7BFFFDD0"/>
    <w:rsid w:val="7C336E5F"/>
    <w:rsid w:val="7C8D4919"/>
    <w:rsid w:val="7D7A5F86"/>
    <w:rsid w:val="7E4B683A"/>
    <w:rsid w:val="7E5E656D"/>
    <w:rsid w:val="7E8F2BCB"/>
    <w:rsid w:val="7F37BB4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0"/>
    <w:pPr>
      <w:jc w:val="left"/>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rPr>
      <w:rFonts w:ascii="Calibri" w:hAnsi="Calibri"/>
    </w:r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11">
    <w:name w:val="annotation subject"/>
    <w:basedOn w:val="3"/>
    <w:next w:val="3"/>
    <w:link w:val="23"/>
    <w:qFormat/>
    <w:uiPriority w:val="0"/>
    <w:rPr>
      <w:b/>
      <w:bCs/>
    </w:rPr>
  </w:style>
  <w:style w:type="paragraph" w:styleId="12">
    <w:name w:val="Body Text First Indent"/>
    <w:basedOn w:val="4"/>
    <w:qFormat/>
    <w:uiPriority w:val="0"/>
    <w:pPr>
      <w:spacing w:after="0"/>
      <w:ind w:firstLine="200" w:firstLineChars="200"/>
    </w:pPr>
  </w:style>
  <w:style w:type="paragraph" w:styleId="13">
    <w:name w:val="Body Text First Indent 2"/>
    <w:basedOn w:val="5"/>
    <w:qFormat/>
    <w:uiPriority w:val="0"/>
    <w:pPr>
      <w:ind w:firstLine="420" w:firstLineChars="200"/>
    </w:pPr>
  </w:style>
  <w:style w:type="character" w:styleId="16">
    <w:name w:val="Strong"/>
    <w:basedOn w:val="15"/>
    <w:qFormat/>
    <w:uiPriority w:val="0"/>
    <w:rPr>
      <w:b/>
      <w:bCs/>
    </w:rPr>
  </w:style>
  <w:style w:type="character" w:styleId="17">
    <w:name w:val="annotation reference"/>
    <w:basedOn w:val="15"/>
    <w:qFormat/>
    <w:uiPriority w:val="0"/>
    <w:rPr>
      <w:sz w:val="21"/>
      <w:szCs w:val="21"/>
    </w:rPr>
  </w:style>
  <w:style w:type="character" w:customStyle="1" w:styleId="18">
    <w:name w:val="fontstyle01"/>
    <w:qFormat/>
    <w:uiPriority w:val="0"/>
    <w:rPr>
      <w:rFonts w:ascii="仿宋_GB2312" w:hAnsi="仿宋_GB2312" w:eastAsia="仿宋_GB2312" w:cs="仿宋_GB2312"/>
      <w:color w:val="000000"/>
      <w:sz w:val="32"/>
      <w:szCs w:val="32"/>
    </w:rPr>
  </w:style>
  <w:style w:type="paragraph" w:customStyle="1" w:styleId="19">
    <w:name w:val="闻政-正文段落文字"/>
    <w:basedOn w:val="1"/>
    <w:qFormat/>
    <w:uiPriority w:val="3"/>
    <w:pPr>
      <w:spacing w:line="500" w:lineRule="exact"/>
      <w:ind w:firstLine="200"/>
    </w:pPr>
    <w:rPr>
      <w:kern w:val="0"/>
      <w:szCs w:val="28"/>
    </w:rPr>
  </w:style>
  <w:style w:type="character" w:customStyle="1" w:styleId="20">
    <w:name w:val="批注框文本 字符"/>
    <w:basedOn w:val="15"/>
    <w:link w:val="6"/>
    <w:qFormat/>
    <w:uiPriority w:val="0"/>
    <w:rPr>
      <w:rFonts w:ascii="Times New Roman" w:hAnsi="Times New Roman" w:eastAsia="宋体" w:cs="Times New Roman"/>
      <w:kern w:val="2"/>
      <w:sz w:val="18"/>
      <w:szCs w:val="18"/>
    </w:rPr>
  </w:style>
  <w:style w:type="character" w:customStyle="1" w:styleId="21">
    <w:name w:val="页眉 字符"/>
    <w:basedOn w:val="15"/>
    <w:link w:val="8"/>
    <w:qFormat/>
    <w:uiPriority w:val="0"/>
    <w:rPr>
      <w:rFonts w:ascii="Times New Roman" w:hAnsi="Times New Roman" w:eastAsia="宋体" w:cs="Times New Roman"/>
      <w:kern w:val="2"/>
      <w:sz w:val="18"/>
      <w:szCs w:val="18"/>
    </w:rPr>
  </w:style>
  <w:style w:type="character" w:customStyle="1" w:styleId="22">
    <w:name w:val="批注文字 字符"/>
    <w:basedOn w:val="15"/>
    <w:link w:val="3"/>
    <w:qFormat/>
    <w:uiPriority w:val="0"/>
    <w:rPr>
      <w:rFonts w:ascii="Times New Roman" w:hAnsi="Times New Roman" w:eastAsia="宋体" w:cs="Times New Roman"/>
      <w:kern w:val="2"/>
      <w:sz w:val="21"/>
      <w:szCs w:val="24"/>
    </w:rPr>
  </w:style>
  <w:style w:type="character" w:customStyle="1" w:styleId="23">
    <w:name w:val="批注主题 字符"/>
    <w:basedOn w:val="22"/>
    <w:link w:val="11"/>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193</Words>
  <Characters>214</Characters>
  <Lines>58</Lines>
  <Paragraphs>16</Paragraphs>
  <TotalTime>136</TotalTime>
  <ScaleCrop>false</ScaleCrop>
  <LinksUpToDate>false</LinksUpToDate>
  <CharactersWithSpaces>214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2023-03-08T13:13:00Z</dcterms:created>
  <dc:creator>审核人</dc:creator>
  <cp:lastModifiedBy>Administrator</cp:lastModifiedBy>
  <cp:lastPrinted>2025-06-26T09:57:00Z</cp:lastPrinted>
  <dcterms:modified xsi:type="dcterms:W3CDTF">2025-08-26T06:01:52Z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15F5086147CD4B74A68E32083D26BE23_13</vt:lpwstr>
  </property>
  <property fmtid="{D5CDD505-2E9C-101B-9397-08002B2CF9AE}" pid="4" name="KSOTemplateDocerSaveRecord">
    <vt:lpwstr>eyJoZGlkIjoiYjVmMWVmZmFjNTM3ZTkzNDRjYmFhYzZjYTQzM2FmMWYiLCJ1c2VySWQiOiIzNzcyNjA0NzcifQ==</vt:lpwstr>
  </property>
</Properties>
</file>