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 xml:space="preserve"> 2023年本级追加，达党财纪字〔2023〕2号，追加区委党校主体班次培训经费</w:t>
      </w:r>
    </w:p>
    <w:p>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支出绩效评价报告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pStyle w:val="10"/>
        <w:jc w:val="both"/>
        <w:rPr>
          <w:rFonts w:hint="default" w:ascii="Times New Roman" w:hAnsi="Times New Roman" w:cs="Times New Roman"/>
        </w:rPr>
      </w:pPr>
    </w:p>
    <w:p>
      <w:pPr>
        <w:spacing w:line="540" w:lineRule="exact"/>
        <w:jc w:val="center"/>
        <w:rPr>
          <w:rFonts w:hint="default" w:ascii="Times New Roman" w:hAnsi="Times New Roman" w:eastAsia="仿宋_GB2312" w:cs="Times New Roman"/>
          <w:kern w:val="0"/>
          <w:sz w:val="30"/>
          <w:szCs w:val="30"/>
        </w:rPr>
      </w:pPr>
    </w:p>
    <w:p>
      <w:pPr>
        <w:spacing w:line="540" w:lineRule="exact"/>
        <w:rPr>
          <w:rFonts w:hint="default" w:ascii="Times New Roman" w:hAnsi="Times New Roman" w:eastAsia="仿宋_GB2312" w:cs="Times New Roman"/>
          <w:kern w:val="0"/>
          <w:sz w:val="30"/>
          <w:szCs w:val="30"/>
        </w:rPr>
      </w:pPr>
    </w:p>
    <w:p>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项目名称：2023年本级追加，达党财纪字〔2023〕2号，追加区委党校主体班次培训经费</w:t>
      </w:r>
    </w:p>
    <w:p>
      <w:pPr>
        <w:spacing w:line="700" w:lineRule="exact"/>
        <w:ind w:firstLine="1440" w:firstLineChars="400"/>
        <w:jc w:val="left"/>
        <w:rPr>
          <w:rFonts w:hint="eastAsia"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实施单位（公章）：</w:t>
      </w:r>
      <w:r>
        <w:rPr>
          <w:rFonts w:hint="eastAsia" w:ascii="Times New Roman" w:hAnsi="Times New Roman" w:eastAsia="仿宋_GB2312" w:cs="Times New Roman"/>
          <w:kern w:val="0"/>
          <w:sz w:val="36"/>
          <w:szCs w:val="36"/>
          <w:lang w:val="en-US" w:eastAsia="zh-CN"/>
        </w:rPr>
        <w:t>达坂城区委党校</w:t>
      </w:r>
    </w:p>
    <w:p>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主管部门（公章）：</w:t>
      </w:r>
      <w:r>
        <w:rPr>
          <w:rFonts w:hint="eastAsia" w:ascii="Times New Roman" w:hAnsi="Times New Roman" w:eastAsia="仿宋_GB2312" w:cs="Times New Roman"/>
          <w:kern w:val="0"/>
          <w:sz w:val="36"/>
          <w:szCs w:val="36"/>
          <w:lang w:val="en-US" w:eastAsia="zh-CN"/>
        </w:rPr>
        <w:t>达坂城区委党校</w:t>
      </w:r>
    </w:p>
    <w:p>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项目负责人（签章）：</w:t>
      </w:r>
      <w:r>
        <w:rPr>
          <w:rFonts w:hint="eastAsia" w:ascii="Times New Roman" w:hAnsi="Times New Roman" w:eastAsia="仿宋_GB2312" w:cs="Times New Roman"/>
          <w:kern w:val="0"/>
          <w:sz w:val="36"/>
          <w:szCs w:val="36"/>
          <w:lang w:val="en-US" w:eastAsia="zh-CN"/>
        </w:rPr>
        <w:t>满银锁</w:t>
      </w:r>
    </w:p>
    <w:p>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eastAsia" w:ascii="Times New Roman" w:hAnsi="Times New Roman" w:eastAsia="仿宋_GB2312" w:cs="Times New Roman"/>
          <w:kern w:val="0"/>
          <w:sz w:val="36"/>
          <w:szCs w:val="36"/>
          <w:lang w:val="en-US" w:eastAsia="zh-CN"/>
        </w:rPr>
        <w:t>2025</w:t>
      </w:r>
      <w:r>
        <w:rPr>
          <w:rFonts w:hint="default" w:ascii="Times New Roman" w:hAnsi="Times New Roman" w:eastAsia="仿宋_GB2312" w:cs="Times New Roman"/>
          <w:kern w:val="0"/>
          <w:sz w:val="36"/>
          <w:szCs w:val="36"/>
        </w:rPr>
        <w:t>年</w:t>
      </w:r>
      <w:r>
        <w:rPr>
          <w:rFonts w:hint="eastAsia"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月</w:t>
      </w:r>
      <w:r>
        <w:rPr>
          <w:rFonts w:hint="eastAsia" w:ascii="Times New Roman" w:hAnsi="Times New Roman" w:eastAsia="仿宋_GB2312" w:cs="Times New Roman"/>
          <w:kern w:val="0"/>
          <w:sz w:val="36"/>
          <w:szCs w:val="36"/>
          <w:lang w:val="en-US" w:eastAsia="zh-CN"/>
        </w:rPr>
        <w:t>22</w:t>
      </w:r>
      <w:r>
        <w:rPr>
          <w:rFonts w:hint="default" w:ascii="Times New Roman" w:hAnsi="Times New Roman" w:eastAsia="仿宋_GB2312" w:cs="Times New Roman"/>
          <w:kern w:val="0"/>
          <w:sz w:val="36"/>
          <w:szCs w:val="36"/>
        </w:rPr>
        <w:t>日</w:t>
      </w:r>
    </w:p>
    <w:p>
      <w:pPr>
        <w:spacing w:line="560" w:lineRule="exact"/>
        <w:ind w:firstLine="640" w:firstLineChars="200"/>
        <w:rPr>
          <w:rFonts w:hint="default" w:ascii="Times New Roman" w:hAnsi="Times New Roman" w:eastAsia="黑体" w:cs="Times New Roman"/>
          <w:bCs/>
          <w:sz w:val="32"/>
          <w:szCs w:val="32"/>
        </w:rPr>
      </w:pP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keepNext w:val="0"/>
        <w:keepLines w:val="0"/>
        <w:pageBreakBefore w:val="0"/>
        <w:widowControl w:val="0"/>
        <w:kinsoku/>
        <w:wordWrap/>
        <w:overflowPunct/>
        <w:topLinePunct w:val="0"/>
        <w:autoSpaceDE w:val="0"/>
        <w:autoSpaceDN/>
        <w:bidi w:val="0"/>
        <w:adjustRightInd/>
        <w:snapToGrid/>
        <w:spacing w:line="576" w:lineRule="exact"/>
        <w:ind w:firstLine="640" w:firstLineChars="200"/>
        <w:textAlignment w:val="auto"/>
        <w:rPr>
          <w:rFonts w:hint="eastAsia" w:ascii="Times New Roman" w:hAnsi="Times New Roman" w:eastAsia="方正仿宋_GBK" w:cs="Times New Roman"/>
          <w:sz w:val="32"/>
          <w:szCs w:val="32"/>
          <w:highlight w:val="none"/>
          <w:lang w:val="en-US" w:eastAsia="zh-CN"/>
        </w:rPr>
      </w:pPr>
      <w:r>
        <w:rPr>
          <w:rFonts w:hint="eastAsia" w:eastAsia="仿宋_GB2312"/>
          <w:sz w:val="32"/>
          <w:szCs w:val="32"/>
          <w:lang w:eastAsia="zh-CN"/>
        </w:rPr>
        <w:t>2</w:t>
      </w:r>
      <w:r>
        <w:rPr>
          <w:rFonts w:hint="eastAsia" w:ascii="Times New Roman" w:hAnsi="Times New Roman" w:eastAsia="仿宋_GB2312" w:cs="Times New Roman"/>
          <w:b w:val="0"/>
          <w:bCs w:val="0"/>
          <w:kern w:val="2"/>
          <w:sz w:val="30"/>
          <w:szCs w:val="30"/>
          <w:highlight w:val="none"/>
          <w:lang w:val="en-US" w:eastAsia="zh-CN" w:bidi="ar-SA"/>
        </w:rPr>
        <w:t>024年我单位已经按照文制定了绩效工作计划，确保该项工作正常运行。践行“为党育才、为党献策”初心，主要紧扣党校基本培训，统筹抓好党的理论教育、党性教育和履职能力培训。</w:t>
      </w:r>
      <w:r>
        <w:rPr>
          <w:rFonts w:hint="eastAsia" w:ascii="Times New Roman" w:hAnsi="Times New Roman" w:eastAsia="方正仿宋_GBK" w:cs="Times New Roman"/>
          <w:sz w:val="32"/>
          <w:szCs w:val="32"/>
          <w:highlight w:val="none"/>
          <w:lang w:eastAsia="zh-CN"/>
        </w:rPr>
        <w:t>遵循</w:t>
      </w:r>
      <w:r>
        <w:rPr>
          <w:rFonts w:hint="eastAsia" w:ascii="Times New Roman" w:hAnsi="Times New Roman" w:eastAsia="方正仿宋_GBK" w:cs="Times New Roman"/>
          <w:sz w:val="32"/>
          <w:szCs w:val="32"/>
          <w:highlight w:val="none"/>
        </w:rPr>
        <w:t>《全国干部教育培训规划(2023-2027年)》</w:t>
      </w:r>
      <w:r>
        <w:rPr>
          <w:rFonts w:hint="eastAsia" w:eastAsia="方正仿宋_GBK" w:cs="Times New Roman"/>
          <w:sz w:val="32"/>
          <w:szCs w:val="32"/>
          <w:highlight w:val="none"/>
          <w:lang w:eastAsia="zh-CN"/>
        </w:rPr>
        <w:t>，</w:t>
      </w:r>
      <w:r>
        <w:rPr>
          <w:rFonts w:hint="eastAsia" w:ascii="Times New Roman" w:hAnsi="Times New Roman" w:eastAsia="方正仿宋_GBK" w:cs="Times New Roman"/>
          <w:sz w:val="32"/>
          <w:szCs w:val="32"/>
          <w:highlight w:val="none"/>
        </w:rPr>
        <w:t>针对全区不同培训对象，在前期全面摸底、精准测算的基础上，审定通过了《达坂城区委党校基本培训方案》，细化了培训对象、周期、班次、内容、学制和培训方式。</w:t>
      </w:r>
      <w:r>
        <w:rPr>
          <w:rFonts w:hint="eastAsia" w:ascii="Times New Roman" w:hAnsi="Times New Roman" w:eastAsia="方正仿宋_GBK" w:cs="Times New Roman"/>
          <w:sz w:val="32"/>
          <w:szCs w:val="32"/>
          <w:highlight w:val="none"/>
          <w:lang w:val="en-US" w:eastAsia="zh-CN"/>
        </w:rPr>
        <w:t>主要用于举办的各类基本培训班次锁产生的费用等阶段性任务。</w:t>
      </w:r>
    </w:p>
    <w:p>
      <w:pPr>
        <w:pStyle w:val="10"/>
        <w:numPr>
          <w:ilvl w:val="0"/>
          <w:numId w:val="0"/>
        </w:numPr>
        <w:spacing w:before="0" w:after="0" w:line="560" w:lineRule="exact"/>
        <w:ind w:firstLine="643" w:firstLineChars="200"/>
        <w:jc w:val="both"/>
        <w:rPr>
          <w:rFonts w:hint="default" w:ascii="Times New Roman" w:hAnsi="Times New Roman" w:eastAsia="仿宋_GB2312" w:cs="Times New Roman"/>
          <w:kern w:val="2"/>
          <w:lang w:val="en-US" w:eastAsia="zh-CN"/>
        </w:rPr>
      </w:pPr>
      <w:r>
        <w:rPr>
          <w:rFonts w:hint="default" w:ascii="Times New Roman" w:hAnsi="Times New Roman" w:eastAsia="仿宋_GB2312" w:cs="Times New Roman"/>
          <w:kern w:val="2"/>
          <w:lang w:val="en-US" w:eastAsia="zh-CN"/>
        </w:rPr>
        <w:t>2.项目主要内容：</w:t>
      </w:r>
    </w:p>
    <w:p>
      <w:pPr>
        <w:keepNext w:val="0"/>
        <w:keepLines w:val="0"/>
        <w:pageBreakBefore w:val="0"/>
        <w:widowControl w:val="0"/>
        <w:kinsoku/>
        <w:wordWrap/>
        <w:overflowPunct/>
        <w:topLinePunct w:val="0"/>
        <w:autoSpaceDE w:val="0"/>
        <w:autoSpaceDN/>
        <w:bidi w:val="0"/>
        <w:adjustRightInd/>
        <w:snapToGrid/>
        <w:spacing w:line="576" w:lineRule="exact"/>
        <w:ind w:firstLine="600" w:firstLineChars="200"/>
        <w:textAlignment w:val="auto"/>
        <w:rPr>
          <w:rFonts w:hint="default" w:ascii="Times New Roman" w:hAnsi="Times New Roman" w:eastAsia="仿宋_GB2312" w:cs="Times New Roman"/>
          <w:highlight w:val="yellow"/>
          <w:lang w:eastAsia="zh-CN"/>
        </w:rPr>
      </w:pPr>
      <w:r>
        <w:rPr>
          <w:rFonts w:hint="default" w:ascii="Times New Roman" w:hAnsi="Times New Roman" w:eastAsia="仿宋_GB2312" w:cs="Times New Roman"/>
          <w:sz w:val="30"/>
          <w:szCs w:val="30"/>
          <w:highlight w:val="none"/>
          <w:lang w:val="en-US" w:eastAsia="zh-CN"/>
        </w:rPr>
        <w:t>项目主要内容：</w:t>
      </w:r>
      <w:r>
        <w:rPr>
          <w:rFonts w:hint="default" w:ascii="Times New Roman" w:hAnsi="Times New Roman" w:eastAsia="仿宋_GB2312" w:cs="Times New Roman"/>
          <w:sz w:val="32"/>
          <w:szCs w:val="32"/>
          <w:highlight w:val="none"/>
          <w:lang w:eastAsia="zh-CN"/>
        </w:rPr>
        <w:t>遵循</w:t>
      </w:r>
      <w:r>
        <w:rPr>
          <w:rFonts w:hint="default" w:ascii="Times New Roman" w:hAnsi="Times New Roman" w:eastAsia="仿宋_GB2312" w:cs="Times New Roman"/>
          <w:sz w:val="32"/>
          <w:szCs w:val="32"/>
          <w:highlight w:val="none"/>
        </w:rPr>
        <w:t>《全国干部教育培训规划(2023-2027年)》</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针对全区不同培训对象，在前期全面摸底、精准测算的基础上，审定通过了《达坂城区委党校基本培训方案》，细化了培训对象、周期、班次、内容、学制和培训方式。</w:t>
      </w:r>
      <w:r>
        <w:rPr>
          <w:rFonts w:hint="default" w:ascii="Times New Roman" w:hAnsi="Times New Roman" w:eastAsia="仿宋_GB2312" w:cs="Times New Roman"/>
          <w:sz w:val="32"/>
          <w:szCs w:val="32"/>
          <w:highlight w:val="none"/>
          <w:lang w:val="en-US" w:eastAsia="zh-CN"/>
        </w:rPr>
        <w:t>主要用于举办的各类基本培训班次锁产生的费用等阶段性任务。</w:t>
      </w:r>
    </w:p>
    <w:p>
      <w:pPr>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sz w:val="32"/>
          <w:szCs w:val="32"/>
        </w:rPr>
        <w:t>项目实施情况：</w:t>
      </w:r>
      <w:r>
        <w:rPr>
          <w:rFonts w:hint="default" w:ascii="Times New Roman" w:hAnsi="Times New Roman" w:eastAsia="仿宋_GB2312" w:cs="Times New Roman"/>
          <w:sz w:val="32"/>
          <w:szCs w:val="32"/>
          <w:highlight w:val="none"/>
        </w:rPr>
        <w:t>目前已经</w:t>
      </w:r>
      <w:r>
        <w:rPr>
          <w:rFonts w:hint="default" w:ascii="Times New Roman" w:hAnsi="Times New Roman" w:eastAsia="仿宋_GB2312" w:cs="Times New Roman"/>
          <w:sz w:val="32"/>
          <w:szCs w:val="32"/>
          <w:highlight w:val="none"/>
          <w:lang w:eastAsia="zh-CN"/>
        </w:rPr>
        <w:t>完成</w:t>
      </w:r>
      <w:r>
        <w:rPr>
          <w:rFonts w:hint="default" w:ascii="Times New Roman" w:hAnsi="Times New Roman" w:eastAsia="仿宋_GB2312" w:cs="Times New Roman"/>
          <w:sz w:val="32"/>
          <w:szCs w:val="32"/>
          <w:highlight w:val="none"/>
          <w:lang w:val="en-US" w:eastAsia="zh-CN"/>
        </w:rPr>
        <w:t>基本培训任务</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完成实际设立的目标，按照目标设立的各阶段任务进行开展工作，</w:t>
      </w:r>
      <w:r>
        <w:rPr>
          <w:rFonts w:hint="default" w:ascii="Times New Roman" w:hAnsi="Times New Roman" w:eastAsia="仿宋_GB2312" w:cs="Times New Roman"/>
          <w:sz w:val="32"/>
          <w:szCs w:val="32"/>
          <w:highlight w:val="none"/>
          <w:lang w:val="en-US" w:eastAsia="zh-CN"/>
        </w:rPr>
        <w:t>已完成中青年干部培训班、乡科级干部培训班</w:t>
      </w:r>
      <w:r>
        <w:rPr>
          <w:rFonts w:hint="default" w:ascii="Times New Roman" w:hAnsi="Times New Roman" w:eastAsia="仿宋_GB2312" w:cs="Times New Roman"/>
          <w:sz w:val="32"/>
          <w:szCs w:val="32"/>
          <w:highlight w:val="none"/>
        </w:rPr>
        <w:t>、进修班三类主体班次。</w:t>
      </w:r>
      <w:r>
        <w:rPr>
          <w:rFonts w:hint="default" w:ascii="Times New Roman" w:hAnsi="Times New Roman" w:eastAsia="仿宋_GB2312" w:cs="Times New Roman"/>
          <w:sz w:val="32"/>
          <w:szCs w:val="32"/>
          <w:highlight w:val="none"/>
          <w:lang w:eastAsia="zh-CN"/>
        </w:rPr>
        <w:t>全年举办</w:t>
      </w:r>
      <w:r>
        <w:rPr>
          <w:rFonts w:hint="default" w:ascii="Times New Roman" w:hAnsi="Times New Roman" w:eastAsia="仿宋_GB2312" w:cs="Times New Roman"/>
          <w:sz w:val="32"/>
          <w:szCs w:val="32"/>
          <w:highlight w:val="none"/>
        </w:rPr>
        <w:t>培训</w:t>
      </w:r>
      <w:r>
        <w:rPr>
          <w:rFonts w:hint="default" w:ascii="Times New Roman" w:hAnsi="Times New Roman" w:eastAsia="仿宋_GB2312" w:cs="Times New Roman"/>
          <w:sz w:val="32"/>
          <w:szCs w:val="32"/>
          <w:highlight w:val="none"/>
          <w:lang w:eastAsia="zh-CN"/>
        </w:rPr>
        <w:t>班</w:t>
      </w:r>
      <w:r>
        <w:rPr>
          <w:rFonts w:hint="default" w:ascii="Times New Roman" w:hAnsi="Times New Roman" w:eastAsia="仿宋_GB2312" w:cs="Times New Roman"/>
          <w:sz w:val="32"/>
          <w:szCs w:val="32"/>
          <w:highlight w:val="none"/>
          <w:lang w:val="en-US" w:eastAsia="zh-CN"/>
        </w:rPr>
        <w:t>31</w:t>
      </w:r>
      <w:r>
        <w:rPr>
          <w:rFonts w:hint="default" w:ascii="Times New Roman" w:hAnsi="Times New Roman" w:eastAsia="仿宋_GB2312" w:cs="Times New Roman"/>
          <w:sz w:val="32"/>
          <w:szCs w:val="32"/>
          <w:highlight w:val="none"/>
        </w:rPr>
        <w:t>个、培训</w:t>
      </w:r>
      <w:r>
        <w:rPr>
          <w:rFonts w:hint="default" w:ascii="Times New Roman" w:hAnsi="Times New Roman" w:eastAsia="仿宋_GB2312" w:cs="Times New Roman"/>
          <w:sz w:val="32"/>
          <w:szCs w:val="32"/>
          <w:highlight w:val="none"/>
          <w:lang w:val="en-US" w:eastAsia="zh-CN"/>
        </w:rPr>
        <w:t>1860</w:t>
      </w:r>
      <w:r>
        <w:rPr>
          <w:rFonts w:hint="default" w:ascii="Times New Roman" w:hAnsi="Times New Roman" w:eastAsia="仿宋_GB2312" w:cs="Times New Roman"/>
          <w:sz w:val="32"/>
          <w:szCs w:val="32"/>
          <w:highlight w:val="none"/>
        </w:rPr>
        <w:t>人，</w:t>
      </w:r>
      <w:r>
        <w:rPr>
          <w:rFonts w:hint="default" w:ascii="Times New Roman" w:hAnsi="Times New Roman" w:eastAsia="仿宋_GB2312" w:cs="Times New Roman"/>
          <w:sz w:val="32"/>
          <w:szCs w:val="32"/>
          <w:highlight w:val="none"/>
          <w:lang w:eastAsia="zh-CN"/>
        </w:rPr>
        <w:t>完成年度培训计划的</w:t>
      </w:r>
      <w:r>
        <w:rPr>
          <w:rFonts w:hint="default" w:ascii="Times New Roman" w:hAnsi="Times New Roman" w:eastAsia="仿宋_GB2312" w:cs="Times New Roman"/>
          <w:sz w:val="32"/>
          <w:szCs w:val="32"/>
          <w:highlight w:val="none"/>
          <w:lang w:val="en-US" w:eastAsia="zh-CN"/>
        </w:rPr>
        <w:t>145%，</w:t>
      </w:r>
      <w:r>
        <w:rPr>
          <w:rFonts w:hint="default" w:ascii="Times New Roman" w:hAnsi="Times New Roman" w:eastAsia="仿宋_GB2312" w:cs="Times New Roman"/>
          <w:sz w:val="32"/>
          <w:szCs w:val="32"/>
          <w:highlight w:val="none"/>
        </w:rPr>
        <w:t>培训规模、班次、人数</w:t>
      </w:r>
      <w:r>
        <w:rPr>
          <w:rFonts w:hint="default" w:ascii="Times New Roman" w:hAnsi="Times New Roman" w:eastAsia="仿宋_GB2312" w:cs="Times New Roman"/>
          <w:sz w:val="32"/>
          <w:szCs w:val="32"/>
          <w:highlight w:val="none"/>
          <w:lang w:eastAsia="zh-CN"/>
        </w:rPr>
        <w:t>再</w:t>
      </w:r>
      <w:r>
        <w:rPr>
          <w:rFonts w:hint="default" w:ascii="Times New Roman" w:hAnsi="Times New Roman" w:eastAsia="仿宋_GB2312" w:cs="Times New Roman"/>
          <w:sz w:val="32"/>
          <w:szCs w:val="32"/>
          <w:highlight w:val="none"/>
        </w:rPr>
        <w:t>创历史新高，推动了干部教育培训全覆盖。</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此项目经</w:t>
      </w:r>
      <w:r>
        <w:rPr>
          <w:rFonts w:hint="default" w:ascii="Times New Roman" w:hAnsi="Times New Roman" w:eastAsia="仿宋_GB2312" w:cs="Times New Roman"/>
          <w:sz w:val="32"/>
          <w:szCs w:val="32"/>
          <w:highlight w:val="none"/>
          <w:lang w:val="en-US" w:eastAsia="zh-CN"/>
        </w:rPr>
        <w:t>达党财纪字〔2023〕2号</w:t>
      </w:r>
      <w:r>
        <w:rPr>
          <w:rFonts w:hint="eastAsia" w:ascii="Times New Roman" w:hAnsi="Times New Roman" w:eastAsia="仿宋_GB2312" w:cs="Times New Roman"/>
          <w:sz w:val="32"/>
          <w:szCs w:val="32"/>
          <w:highlight w:val="none"/>
          <w:lang w:val="en-US" w:eastAsia="zh-CN"/>
        </w:rPr>
        <w:t>文件批准，</w:t>
      </w:r>
      <w:r>
        <w:rPr>
          <w:rFonts w:hint="default" w:ascii="Times New Roman" w:hAnsi="Times New Roman" w:eastAsia="仿宋_GB2312" w:cs="Times New Roman"/>
          <w:sz w:val="32"/>
          <w:szCs w:val="32"/>
          <w:highlight w:val="none"/>
          <w:lang w:val="en-US" w:eastAsia="zh-CN"/>
        </w:rPr>
        <w:t>该项目</w:t>
      </w:r>
      <w:r>
        <w:rPr>
          <w:rFonts w:hint="eastAsia" w:ascii="Times New Roman" w:hAnsi="Times New Roman" w:eastAsia="仿宋_GB2312" w:cs="Times New Roman"/>
          <w:sz w:val="32"/>
          <w:szCs w:val="32"/>
          <w:highlight w:val="none"/>
          <w:lang w:val="en-US" w:eastAsia="zh-CN"/>
        </w:rPr>
        <w:t>为2024年本级资金，</w:t>
      </w:r>
      <w:r>
        <w:rPr>
          <w:rFonts w:hint="default" w:ascii="Times New Roman" w:hAnsi="Times New Roman" w:eastAsia="仿宋_GB2312" w:cs="Times New Roman"/>
          <w:sz w:val="32"/>
          <w:szCs w:val="32"/>
          <w:highlight w:val="none"/>
          <w:lang w:val="en-US" w:eastAsia="zh-CN"/>
        </w:rPr>
        <w:t>年初预算数</w:t>
      </w:r>
      <w:r>
        <w:rPr>
          <w:rFonts w:hint="eastAsia" w:ascii="Times New Roman" w:hAnsi="Times New Roman" w:eastAsia="仿宋_GB2312" w:cs="Times New Roman"/>
          <w:sz w:val="32"/>
          <w:szCs w:val="32"/>
          <w:highlight w:val="none"/>
          <w:lang w:val="en-US" w:eastAsia="zh-CN"/>
        </w:rPr>
        <w:t>12.62</w:t>
      </w:r>
      <w:r>
        <w:rPr>
          <w:rFonts w:hint="default" w:ascii="Times New Roman" w:hAnsi="Times New Roman" w:eastAsia="仿宋_GB2312" w:cs="Times New Roman"/>
          <w:sz w:val="32"/>
          <w:szCs w:val="32"/>
          <w:highlight w:val="none"/>
          <w:lang w:val="en-US" w:eastAsia="zh-CN"/>
        </w:rPr>
        <w:t>万元，全年预算数</w:t>
      </w:r>
      <w:r>
        <w:rPr>
          <w:rFonts w:hint="eastAsia" w:ascii="Times New Roman" w:hAnsi="Times New Roman" w:eastAsia="仿宋_GB2312" w:cs="Times New Roman"/>
          <w:sz w:val="32"/>
          <w:szCs w:val="32"/>
          <w:highlight w:val="none"/>
          <w:lang w:val="en-US" w:eastAsia="zh-CN"/>
        </w:rPr>
        <w:t>12.62</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于2024年</w:t>
      </w:r>
      <w:r>
        <w:rPr>
          <w:rFonts w:hint="eastAsia" w:eastAsia="仿宋_GB2312" w:cs="Times New Roman"/>
          <w:sz w:val="32"/>
          <w:szCs w:val="32"/>
          <w:highlight w:val="none"/>
          <w:lang w:val="en-US" w:eastAsia="zh-CN"/>
        </w:rPr>
        <w:t>年中追加</w:t>
      </w:r>
      <w:r>
        <w:rPr>
          <w:rFonts w:hint="eastAsia" w:ascii="Times New Roman" w:hAnsi="Times New Roman" w:eastAsia="仿宋_GB2312" w:cs="Times New Roman"/>
          <w:sz w:val="32"/>
          <w:szCs w:val="32"/>
          <w:highlight w:val="none"/>
          <w:lang w:val="en-US" w:eastAsia="zh-CN"/>
        </w:rPr>
        <w:t>项目，</w:t>
      </w:r>
      <w:r>
        <w:rPr>
          <w:rFonts w:hint="default" w:ascii="Times New Roman" w:hAnsi="Times New Roman" w:eastAsia="仿宋_GB2312" w:cs="Times New Roman"/>
          <w:sz w:val="32"/>
          <w:szCs w:val="32"/>
          <w:highlight w:val="none"/>
          <w:lang w:val="en-US" w:eastAsia="zh-CN"/>
        </w:rPr>
        <w:t>该项目资金已全部落实到位</w:t>
      </w:r>
      <w:r>
        <w:rPr>
          <w:rFonts w:hint="eastAsia"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w:t>
      </w:r>
      <w:r>
        <w:rPr>
          <w:rFonts w:hint="default" w:ascii="Times New Roman" w:hAnsi="Times New Roman" w:eastAsia="仿宋_GB2312" w:cs="Times New Roman"/>
          <w:b w:val="0"/>
          <w:bCs w:val="0"/>
          <w:kern w:val="2"/>
          <w:sz w:val="30"/>
          <w:szCs w:val="30"/>
          <w:highlight w:val="none"/>
          <w:lang w:val="en-US" w:eastAsia="zh-CN" w:bidi="ar-SA"/>
        </w:rPr>
        <w:t>数</w:t>
      </w:r>
      <w:r>
        <w:rPr>
          <w:rFonts w:hint="eastAsia" w:eastAsia="仿宋_GB2312" w:cs="Times New Roman"/>
          <w:b w:val="0"/>
          <w:bCs w:val="0"/>
          <w:kern w:val="2"/>
          <w:sz w:val="30"/>
          <w:szCs w:val="30"/>
          <w:highlight w:val="none"/>
          <w:lang w:val="en-US" w:eastAsia="zh-CN" w:bidi="ar-SA"/>
        </w:rPr>
        <w:t>12.62</w:t>
      </w:r>
      <w:r>
        <w:rPr>
          <w:rFonts w:hint="default" w:ascii="Times New Roman" w:hAnsi="Times New Roman" w:eastAsia="仿宋_GB2312" w:cs="Times New Roman"/>
          <w:b w:val="0"/>
          <w:bCs w:val="0"/>
          <w:kern w:val="2"/>
          <w:sz w:val="30"/>
          <w:szCs w:val="30"/>
          <w:highlight w:val="none"/>
          <w:lang w:val="en-US" w:eastAsia="zh-CN" w:bidi="ar-SA"/>
        </w:rPr>
        <w:t>万元，全年预算数</w:t>
      </w:r>
      <w:r>
        <w:rPr>
          <w:rFonts w:hint="eastAsia" w:eastAsia="仿宋_GB2312" w:cs="Times New Roman"/>
          <w:b w:val="0"/>
          <w:bCs w:val="0"/>
          <w:kern w:val="2"/>
          <w:sz w:val="30"/>
          <w:szCs w:val="30"/>
          <w:highlight w:val="none"/>
          <w:lang w:val="en-US" w:eastAsia="zh-CN" w:bidi="ar-SA"/>
        </w:rPr>
        <w:t>12.62</w:t>
      </w:r>
      <w:r>
        <w:rPr>
          <w:rFonts w:hint="default" w:ascii="Times New Roman" w:hAnsi="Times New Roman" w:eastAsia="仿宋_GB2312" w:cs="Times New Roman"/>
          <w:b w:val="0"/>
          <w:bCs w:val="0"/>
          <w:kern w:val="2"/>
          <w:sz w:val="30"/>
          <w:szCs w:val="30"/>
          <w:highlight w:val="none"/>
          <w:lang w:val="en-US" w:eastAsia="zh-CN" w:bidi="ar-SA"/>
        </w:rPr>
        <w:t>万元，</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b w:val="0"/>
          <w:bCs w:val="0"/>
          <w:kern w:val="2"/>
          <w:sz w:val="30"/>
          <w:szCs w:val="30"/>
          <w:highlight w:val="none"/>
          <w:lang w:val="en-US" w:eastAsia="zh-CN" w:bidi="ar-SA"/>
        </w:rPr>
        <w:t>12.62</w:t>
      </w:r>
      <w:r>
        <w:rPr>
          <w:rFonts w:hint="default" w:ascii="Times New Roman" w:hAnsi="Times New Roman" w:eastAsia="仿宋_GB2312" w:cs="Times New Roman"/>
          <w:sz w:val="32"/>
          <w:szCs w:val="32"/>
          <w:highlight w:val="none"/>
          <w:lang w:val="en-US" w:eastAsia="zh-CN"/>
        </w:rPr>
        <w:t>万元，预算执行率</w:t>
      </w:r>
      <w:r>
        <w:rPr>
          <w:rFonts w:hint="default" w:ascii="Times New Roman" w:hAnsi="Times New Roman" w:eastAsia="仿宋_GB2312" w:cs="Times New Roman"/>
          <w:b w:val="0"/>
          <w:bCs w:val="0"/>
          <w:kern w:val="2"/>
          <w:sz w:val="30"/>
          <w:szCs w:val="30"/>
          <w:highlight w:val="none"/>
          <w:lang w:val="en-US" w:eastAsia="zh-CN" w:bidi="ar-SA"/>
        </w:rPr>
        <w:t>为</w:t>
      </w:r>
      <w:r>
        <w:rPr>
          <w:rFonts w:hint="eastAsia" w:ascii="Times New Roman" w:hAnsi="Times New Roman" w:eastAsia="仿宋_GB2312" w:cs="Times New Roman"/>
          <w:b w:val="0"/>
          <w:bCs w:val="0"/>
          <w:kern w:val="2"/>
          <w:sz w:val="30"/>
          <w:szCs w:val="30"/>
          <w:highlight w:val="none"/>
          <w:lang w:val="en-US" w:eastAsia="zh-CN" w:bidi="ar-SA"/>
        </w:rPr>
        <w:t>100%</w:t>
      </w:r>
      <w:r>
        <w:rPr>
          <w:rFonts w:hint="default" w:ascii="Times New Roman" w:hAnsi="Times New Roman" w:eastAsia="仿宋_GB2312" w:cs="Times New Roman"/>
          <w:b w:val="0"/>
          <w:bCs w:val="0"/>
          <w:kern w:val="2"/>
          <w:sz w:val="30"/>
          <w:szCs w:val="30"/>
          <w:highlight w:val="none"/>
          <w:lang w:val="en-US" w:eastAsia="zh-CN" w:bidi="ar-SA"/>
        </w:rPr>
        <w:t>，主</w:t>
      </w:r>
      <w:r>
        <w:rPr>
          <w:rFonts w:hint="default" w:ascii="Times New Roman" w:hAnsi="Times New Roman" w:eastAsia="仿宋_GB2312" w:cs="Times New Roman"/>
          <w:sz w:val="32"/>
          <w:szCs w:val="32"/>
          <w:highlight w:val="none"/>
          <w:lang w:val="en-US" w:eastAsia="zh-CN"/>
        </w:rPr>
        <w:t>要用于</w:t>
      </w:r>
      <w:r>
        <w:rPr>
          <w:rFonts w:hint="default" w:ascii="Times New Roman" w:hAnsi="Times New Roman" w:eastAsia="仿宋_GB2312" w:cs="Times New Roman"/>
          <w:b w:val="0"/>
          <w:bCs w:val="0"/>
          <w:kern w:val="2"/>
          <w:sz w:val="30"/>
          <w:szCs w:val="30"/>
          <w:highlight w:val="none"/>
          <w:lang w:val="en-US" w:eastAsia="zh-CN" w:bidi="ar-SA"/>
        </w:rPr>
        <w:t>支付达坂城区委党校主体班次乌鲁木齐市委党校教师上课所产生的教师授课费用、学员用餐所产生的食堂食材费用如牛羊肉、蔬菜等、学员所产生的学习用具等培训经费。</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spacing w:line="560" w:lineRule="exact"/>
        <w:ind w:firstLine="640" w:firstLineChars="200"/>
        <w:rPr>
          <w:rFonts w:hint="eastAsia" w:eastAsia="仿宋_GB2312" w:cs="Times New Roman"/>
          <w:b w:val="0"/>
          <w:bCs w:val="0"/>
          <w:kern w:val="2"/>
          <w:sz w:val="30"/>
          <w:szCs w:val="30"/>
          <w:highlight w:val="none"/>
          <w:lang w:val="en-US" w:eastAsia="zh-CN" w:bidi="ar-SA"/>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r>
        <w:rPr>
          <w:rFonts w:hint="eastAsia" w:ascii="Times New Roman" w:hAnsi="Times New Roman" w:eastAsia="仿宋_GB2312" w:cs="Times New Roman"/>
          <w:b w:val="0"/>
          <w:bCs w:val="0"/>
          <w:kern w:val="2"/>
          <w:sz w:val="30"/>
          <w:szCs w:val="30"/>
          <w:highlight w:val="none"/>
          <w:lang w:val="en-US" w:eastAsia="zh-CN" w:bidi="ar-SA"/>
        </w:rPr>
        <w:t>：</w:t>
      </w:r>
      <w:r>
        <w:rPr>
          <w:rFonts w:hint="default" w:ascii="Times New Roman" w:hAnsi="Times New Roman" w:eastAsia="仿宋_GB2312" w:cs="Times New Roman"/>
          <w:b w:val="0"/>
          <w:bCs w:val="0"/>
          <w:kern w:val="2"/>
          <w:sz w:val="30"/>
          <w:szCs w:val="30"/>
          <w:highlight w:val="none"/>
          <w:lang w:val="en-US" w:eastAsia="zh-CN" w:bidi="ar-SA"/>
        </w:rPr>
        <w:t>本项目为达坂城区委党校主体班次培训经费</w:t>
      </w:r>
      <w:r>
        <w:rPr>
          <w:rFonts w:hint="eastAsia" w:eastAsia="仿宋_GB2312" w:cs="Times New Roman"/>
          <w:b w:val="0"/>
          <w:bCs w:val="0"/>
          <w:kern w:val="2"/>
          <w:sz w:val="30"/>
          <w:szCs w:val="30"/>
          <w:highlight w:val="none"/>
          <w:lang w:val="en-US" w:eastAsia="zh-CN" w:bidi="ar-SA"/>
        </w:rPr>
        <w:t>。认真抓好党员干部理论培训、党性教育、队伍建设等工作。</w:t>
      </w:r>
    </w:p>
    <w:p>
      <w:pPr>
        <w:spacing w:line="560" w:lineRule="exact"/>
        <w:ind w:firstLine="640" w:firstLineChars="200"/>
        <w:rPr>
          <w:rFonts w:hint="eastAsia" w:ascii="Times New Roman" w:hAnsi="Times New Roman" w:eastAsia="仿宋_GB2312" w:cs="Times New Roman"/>
          <w:b w:val="0"/>
          <w:bCs w:val="0"/>
          <w:kern w:val="2"/>
          <w:sz w:val="30"/>
          <w:szCs w:val="30"/>
          <w:highlight w:val="none"/>
          <w:lang w:val="en-US" w:eastAsia="zh-CN" w:bidi="ar-SA"/>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阶段性目标</w:t>
      </w:r>
      <w:r>
        <w:rPr>
          <w:rFonts w:hint="eastAsia" w:eastAsia="仿宋_GB2312" w:cs="Times New Roman"/>
          <w:sz w:val="32"/>
          <w:szCs w:val="32"/>
          <w:lang w:eastAsia="zh-CN"/>
        </w:rPr>
        <w:t>：</w:t>
      </w:r>
      <w:r>
        <w:rPr>
          <w:rFonts w:hint="eastAsia" w:ascii="Times New Roman" w:hAnsi="Times New Roman" w:eastAsia="仿宋_GB2312" w:cs="Times New Roman"/>
          <w:b w:val="0"/>
          <w:bCs w:val="0"/>
          <w:kern w:val="2"/>
          <w:sz w:val="30"/>
          <w:szCs w:val="30"/>
          <w:highlight w:val="none"/>
          <w:lang w:val="en-US" w:eastAsia="zh-CN" w:bidi="ar-SA"/>
        </w:rPr>
        <w:t>一是认真完成干部培训工作，为干部培训提供良好的环境，目前已完成中青年干部培训班、乡科级干部培训班、进修班三类主体班次。全年举办培训班31个、培训1860人，完成年度培训计划的145%，二是用于支付学员培训书籍采购、教师授课费用、学员日常办公用品及伙食后勤保障等工作，以此推动干部教育培训全覆盖。</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1.绩效评价完整性</w:t>
      </w:r>
    </w:p>
    <w:p>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（1）评估项目实施效果</w:t>
      </w:r>
    </w:p>
    <w:p>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通过对项目预算执行情况及各项绩效目标达成程度的系统性分析，全面、客观地评估项目在预定周期内的实施效果，包括社会效益等多维度指标，为项目后续的改进与优化提供科学依据。</w:t>
      </w:r>
    </w:p>
    <w:p>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（2）提升资源利用效率</w:t>
      </w:r>
    </w:p>
    <w:p>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（3）强化项目管理责任</w:t>
      </w:r>
    </w:p>
    <w:p>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val="0"/>
          <w:bCs w:val="0"/>
          <w:kern w:val="2"/>
          <w:sz w:val="32"/>
          <w:szCs w:val="32"/>
          <w:lang w:val="en-US" w:eastAsia="zh-CN" w:bidi="ar-SA"/>
        </w:rPr>
        <w:t>3.绩效评价的对象</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本项目预算绩效评价报告的评价对象是2023年本级追加，达党财纪字〔2023〕2号，追加区委党校主体班次培训经费。该项目由</w:t>
      </w:r>
      <w:r>
        <w:rPr>
          <w:rFonts w:hint="eastAsia" w:ascii="Times New Roman" w:hAnsi="Times New Roman" w:eastAsia="仿宋_GB2312" w:cs="Times New Roman"/>
          <w:b w:val="0"/>
          <w:bCs w:val="0"/>
          <w:kern w:val="2"/>
          <w:sz w:val="32"/>
          <w:szCs w:val="32"/>
          <w:lang w:val="en-US" w:eastAsia="zh-CN" w:bidi="ar-SA"/>
        </w:rPr>
        <w:t>达坂城区委员会党校</w:t>
      </w:r>
      <w:r>
        <w:rPr>
          <w:rFonts w:hint="default" w:ascii="Times New Roman" w:hAnsi="Times New Roman" w:eastAsia="仿宋_GB2312" w:cs="Times New Roman"/>
          <w:b w:val="0"/>
          <w:bCs w:val="0"/>
          <w:kern w:val="2"/>
          <w:sz w:val="32"/>
          <w:szCs w:val="32"/>
          <w:lang w:val="en-US" w:eastAsia="zh-CN" w:bidi="ar-SA"/>
        </w:rPr>
        <w:t>负责实施，旨在</w:t>
      </w:r>
      <w:r>
        <w:rPr>
          <w:rFonts w:hint="eastAsia" w:ascii="Times New Roman" w:hAnsi="Times New Roman" w:eastAsia="仿宋_GB2312" w:cs="Times New Roman"/>
          <w:b w:val="0"/>
          <w:bCs w:val="0"/>
          <w:kern w:val="2"/>
          <w:sz w:val="32"/>
          <w:szCs w:val="32"/>
          <w:lang w:val="en-US" w:eastAsia="zh-CN" w:bidi="ar-SA"/>
        </w:rPr>
        <w:t>支付</w:t>
      </w:r>
      <w:r>
        <w:rPr>
          <w:rFonts w:hint="default" w:ascii="Times New Roman" w:hAnsi="Times New Roman" w:eastAsia="仿宋_GB2312" w:cs="Times New Roman"/>
          <w:b w:val="0"/>
          <w:bCs w:val="0"/>
          <w:kern w:val="2"/>
          <w:sz w:val="32"/>
          <w:szCs w:val="32"/>
          <w:lang w:val="en-US" w:eastAsia="zh-CN" w:bidi="ar-SA"/>
        </w:rPr>
        <w:t>达坂城区委党校主体班次培训经费。项目预算涵盖</w:t>
      </w:r>
      <w:r>
        <w:rPr>
          <w:rFonts w:hint="eastAsia" w:ascii="Times New Roman" w:hAnsi="Times New Roman" w:eastAsia="仿宋_GB2312" w:cs="Times New Roman"/>
          <w:b w:val="0"/>
          <w:bCs w:val="0"/>
          <w:kern w:val="2"/>
          <w:sz w:val="32"/>
          <w:szCs w:val="32"/>
          <w:lang w:val="en-US" w:eastAsia="zh-CN" w:bidi="ar-SA"/>
        </w:rPr>
        <w:t>举办的主题培训班费用，</w:t>
      </w:r>
      <w:r>
        <w:rPr>
          <w:rFonts w:hint="default" w:ascii="Times New Roman" w:hAnsi="Times New Roman" w:eastAsia="仿宋_GB2312" w:cs="Times New Roman"/>
          <w:b w:val="0"/>
          <w:bCs w:val="0"/>
          <w:kern w:val="2"/>
          <w:sz w:val="32"/>
          <w:szCs w:val="32"/>
          <w:lang w:val="en-US" w:eastAsia="zh-CN" w:bidi="ar-SA"/>
        </w:rPr>
        <w:t>资金投入与支出，涉及资金总额为</w:t>
      </w:r>
      <w:r>
        <w:rPr>
          <w:rFonts w:hint="eastAsia" w:ascii="Times New Roman" w:hAnsi="Times New Roman" w:eastAsia="仿宋_GB2312" w:cs="Times New Roman"/>
          <w:b w:val="0"/>
          <w:bCs w:val="0"/>
          <w:kern w:val="2"/>
          <w:sz w:val="32"/>
          <w:szCs w:val="32"/>
          <w:lang w:val="en-US" w:eastAsia="zh-CN" w:bidi="ar-SA"/>
        </w:rPr>
        <w:t>12.62</w:t>
      </w:r>
      <w:r>
        <w:rPr>
          <w:rFonts w:hint="default" w:ascii="Times New Roman" w:hAnsi="Times New Roman" w:eastAsia="仿宋_GB2312" w:cs="Times New Roman"/>
          <w:b w:val="0"/>
          <w:bCs w:val="0"/>
          <w:kern w:val="2"/>
          <w:sz w:val="32"/>
          <w:szCs w:val="32"/>
          <w:lang w:val="en-US" w:eastAsia="zh-CN" w:bidi="ar-SA"/>
        </w:rPr>
        <w:t>万元。</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4.绩效评价的范围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lang w:val="en-US" w:eastAsia="zh-CN" w:bidi="ar-SA"/>
        </w:rPr>
        <w:t>本项目预算绩效评价报告的评价范围广泛而全面，涵盖了从项目立项至评价时点期间的所有关键预算活动和财务流程。具</w:t>
      </w:r>
      <w:r>
        <w:rPr>
          <w:rFonts w:hint="default" w:ascii="Times New Roman" w:hAnsi="Times New Roman" w:eastAsia="仿宋_GB2312" w:cs="Times New Roman"/>
          <w:b w:val="0"/>
          <w:bCs w:val="0"/>
          <w:kern w:val="2"/>
          <w:sz w:val="32"/>
          <w:szCs w:val="32"/>
          <w:highlight w:val="none"/>
          <w:lang w:val="en-US" w:eastAsia="zh-CN" w:bidi="ar-SA"/>
        </w:rPr>
        <w:t>体而言，评价范围包括但不限于以下几个方面：</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3</w:t>
      </w:r>
      <w:r>
        <w:rPr>
          <w:rFonts w:hint="eastAsia"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（4）</w:t>
      </w:r>
      <w:r>
        <w:rPr>
          <w:rFonts w:hint="default" w:ascii="Times New Roman" w:hAnsi="Times New Roman" w:eastAsia="仿宋_GB2312" w:cs="Times New Roman"/>
          <w:b w:val="0"/>
          <w:bCs w:val="0"/>
          <w:kern w:val="2"/>
          <w:sz w:val="32"/>
          <w:szCs w:val="32"/>
          <w:lang w:val="en-US" w:eastAsia="zh-CN" w:bidi="ar-SA"/>
        </w:rPr>
        <w:t>社会影响：考察项目对社会方面的综合影响。</w:t>
      </w:r>
    </w:p>
    <w:p>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w:t>
      </w:r>
      <w:r>
        <w:rPr>
          <w:rFonts w:hint="eastAsia" w:eastAsia="仿宋_GB2312" w:cs="Times New Roman"/>
          <w:color w:val="000000"/>
          <w:spacing w:val="17"/>
          <w:sz w:val="32"/>
          <w:szCs w:val="32"/>
          <w:lang w:val="en-US" w:eastAsia="zh-CN"/>
        </w:rPr>
        <w:t>20</w:t>
      </w:r>
      <w:r>
        <w:rPr>
          <w:rFonts w:hint="default" w:ascii="Times New Roman" w:hAnsi="Times New Roman" w:eastAsia="仿宋_GB2312" w:cs="Times New Roman"/>
          <w:color w:val="000000"/>
          <w:spacing w:val="17"/>
          <w:sz w:val="32"/>
          <w:szCs w:val="32"/>
        </w:rPr>
        <w:t>分，项目过程权重为20分，项目产出权重为40分，项目效益权重为20分。</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0"/>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pPr>
        <w:pStyle w:val="10"/>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绩效评价从项目决策、项目过程、项目产出、项目效益四个维度进行评价。评价对象为项目目标实施情况，评价核心为资金的支出完成情况和项目的产出效益。</w:t>
      </w:r>
    </w:p>
    <w:p>
      <w:pPr>
        <w:spacing w:line="560" w:lineRule="exact"/>
        <w:ind w:firstLine="708" w:firstLineChars="200"/>
        <w:rPr>
          <w:rFonts w:hint="default" w:ascii="Times New Roman" w:hAnsi="Times New Roman" w:eastAsia="仿宋_GB2312" w:cs="Times New Roman"/>
          <w:color w:val="000000"/>
          <w:spacing w:val="17"/>
          <w:sz w:val="32"/>
          <w:szCs w:val="32"/>
          <w:highlight w:val="green"/>
        </w:rPr>
      </w:pPr>
      <w:r>
        <w:rPr>
          <w:rFonts w:hint="default" w:ascii="Times New Roman" w:hAnsi="Times New Roman" w:eastAsia="仿宋_GB2312" w:cs="Times New Roman"/>
          <w:color w:val="000000"/>
          <w:spacing w:val="17"/>
          <w:sz w:val="32"/>
          <w:szCs w:val="32"/>
          <w:highlight w:val="none"/>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 xml:space="preserve">（一）成本效益分析法。是指将投入与产出、效益进行关联性分析的方法。 </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（二）比较法。是指将实施情况与绩效目标、历史情况、不同部门和地区同类支出情况进行比较的方法。</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（三）因素分析法。是指综合分析影响绩效目标实现、实施效果的内外部因素的方法。</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highlight w:val="none"/>
          <w:lang w:val="en-US" w:eastAsia="zh-CN"/>
        </w:rPr>
        <w:t>计划</w:t>
      </w:r>
      <w:r>
        <w:rPr>
          <w:rFonts w:hint="default" w:ascii="Times New Roman" w:hAnsi="Times New Roman" w:eastAsia="仿宋_GB2312" w:cs="Times New Roman"/>
          <w:b w:val="0"/>
          <w:bCs w:val="0"/>
          <w:highlight w:val="none"/>
        </w:rPr>
        <w:t>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计划标准。指以预先制定的目标、计划、预算、定额等作为评价标准。</w:t>
      </w:r>
    </w:p>
    <w:p>
      <w:pPr>
        <w:pStyle w:val="10"/>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green"/>
        </w:rPr>
      </w:pPr>
      <w:r>
        <w:rPr>
          <w:rFonts w:hint="default" w:ascii="Times New Roman" w:hAnsi="Times New Roman" w:eastAsia="仿宋_GB2312" w:cs="Times New Roman"/>
          <w:sz w:val="32"/>
          <w:szCs w:val="32"/>
          <w:highlight w:val="none"/>
        </w:rPr>
        <w:t>在项目绩效评价工作启动之初，成立了专门的评价工作小组，小组成员由</w:t>
      </w:r>
      <w:r>
        <w:rPr>
          <w:rFonts w:hint="eastAsia" w:eastAsia="仿宋_GB2312" w:cs="Times New Roman"/>
          <w:sz w:val="32"/>
          <w:szCs w:val="32"/>
          <w:highlight w:val="none"/>
          <w:lang w:eastAsia="zh-CN"/>
        </w:rPr>
        <w:t>分管</w:t>
      </w:r>
      <w:r>
        <w:rPr>
          <w:rFonts w:hint="default" w:ascii="Times New Roman" w:hAnsi="Times New Roman" w:eastAsia="仿宋_GB2312" w:cs="Times New Roman"/>
          <w:sz w:val="32"/>
          <w:szCs w:val="32"/>
          <w:highlight w:val="none"/>
        </w:rPr>
        <w:t>财务</w:t>
      </w:r>
      <w:r>
        <w:rPr>
          <w:rFonts w:hint="eastAsia" w:eastAsia="仿宋_GB2312" w:cs="Times New Roman"/>
          <w:sz w:val="32"/>
          <w:szCs w:val="32"/>
          <w:highlight w:val="none"/>
          <w:lang w:eastAsia="zh-CN"/>
        </w:rPr>
        <w:t>领导</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业务领导及</w:t>
      </w:r>
      <w:r>
        <w:rPr>
          <w:rFonts w:hint="default" w:ascii="Times New Roman" w:hAnsi="Times New Roman" w:eastAsia="仿宋_GB2312" w:cs="Times New Roman"/>
          <w:sz w:val="32"/>
          <w:szCs w:val="32"/>
          <w:highlight w:val="none"/>
        </w:rPr>
        <w:t>专业人员组成，确保从多角度、全方位对项目绩效进行评价。同时，明确了评价工作的目标、范围、重点及时间安排，制定了详细的工作计划，为评价工作的顺利开展奠定了坚实基础。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green"/>
        </w:rPr>
      </w:pPr>
      <w:r>
        <w:rPr>
          <w:rFonts w:hint="default" w:ascii="Times New Roman" w:hAnsi="Times New Roman" w:eastAsia="仿宋_GB2312" w:cs="Times New Roman"/>
          <w:kern w:val="2"/>
          <w:sz w:val="32"/>
          <w:szCs w:val="32"/>
          <w:highlight w:val="none"/>
          <w:lang w:val="en-US" w:eastAsia="zh-CN" w:bidi="ar-SA"/>
        </w:rPr>
        <w:t>本项目的综合评价基于对项目各方面绩效的深入分析与评估。从项目目标的达成情况来看， 2023年本级追加，达党财纪字〔2023〕2号，追加区委党校主体班次培训经费在</w:t>
      </w:r>
      <w:r>
        <w:rPr>
          <w:rFonts w:hint="eastAsia" w:ascii="Times New Roman" w:hAnsi="Times New Roman" w:eastAsia="仿宋_GB2312" w:cs="Times New Roman"/>
          <w:kern w:val="2"/>
          <w:sz w:val="32"/>
          <w:szCs w:val="32"/>
          <w:highlight w:val="none"/>
          <w:lang w:val="en-US" w:eastAsia="zh-CN" w:bidi="ar-SA"/>
        </w:rPr>
        <w:t>开展培训场次</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提升培训学员素质</w:t>
      </w:r>
      <w:r>
        <w:rPr>
          <w:rFonts w:hint="default" w:ascii="Times New Roman" w:hAnsi="Times New Roman" w:eastAsia="仿宋_GB2312" w:cs="Times New Roman"/>
          <w:kern w:val="2"/>
          <w:sz w:val="32"/>
          <w:szCs w:val="32"/>
          <w:highlight w:val="none"/>
          <w:lang w:val="en-US" w:eastAsia="zh-CN" w:bidi="ar-SA"/>
        </w:rPr>
        <w:t>等方面表现出色，达到了预期的标准与要求。同时，项目也取得了显著的成效。</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在项目管理方面，</w:t>
      </w:r>
      <w:r>
        <w:rPr>
          <w:rFonts w:hint="eastAsia" w:ascii="Times New Roman" w:hAnsi="Times New Roman" w:eastAsia="仿宋_GB2312" w:cs="Times New Roman"/>
          <w:kern w:val="2"/>
          <w:sz w:val="32"/>
          <w:szCs w:val="32"/>
          <w:highlight w:val="none"/>
          <w:lang w:val="en-US" w:eastAsia="zh-CN" w:bidi="ar-SA"/>
        </w:rPr>
        <w:t>达坂城区委党校</w:t>
      </w:r>
      <w:r>
        <w:rPr>
          <w:rFonts w:hint="default" w:ascii="Times New Roman" w:hAnsi="Times New Roman" w:eastAsia="仿宋_GB2312" w:cs="Times New Roman"/>
          <w:kern w:val="2"/>
          <w:sz w:val="32"/>
          <w:szCs w:val="32"/>
          <w:highlight w:val="none"/>
          <w:lang w:val="en-US" w:eastAsia="zh-CN" w:bidi="ar-SA"/>
        </w:rPr>
        <w:t>通过有效的规划、组织与协调，项目得以顺利实施，并在预算与时间上保持了良好的控制。</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green"/>
        </w:rPr>
      </w:pPr>
      <w:r>
        <w:rPr>
          <w:rFonts w:hint="default" w:ascii="Times New Roman" w:hAnsi="Times New Roman" w:eastAsia="仿宋_GB2312" w:cs="Times New Roman"/>
          <w:kern w:val="2"/>
          <w:sz w:val="32"/>
          <w:szCs w:val="32"/>
          <w:highlight w:val="none"/>
          <w:lang w:val="en-US" w:eastAsia="zh-CN" w:bidi="ar-SA"/>
        </w:rPr>
        <w:t>从项目效益的角度来看，本项目不仅实现了预期的社会效益方面产生了积极的影响。具体而言，</w:t>
      </w:r>
      <w:r>
        <w:rPr>
          <w:rFonts w:hint="eastAsia" w:ascii="Times New Roman" w:hAnsi="Times New Roman" w:eastAsia="仿宋_GB2312" w:cs="Times New Roman"/>
          <w:kern w:val="2"/>
          <w:sz w:val="32"/>
          <w:szCs w:val="32"/>
          <w:highlight w:val="none"/>
          <w:lang w:val="en-US" w:eastAsia="zh-CN" w:bidi="ar-SA"/>
        </w:rPr>
        <w:t>提升培训学员素质</w:t>
      </w:r>
      <w:r>
        <w:rPr>
          <w:rFonts w:hint="default" w:ascii="Times New Roman" w:hAnsi="Times New Roman" w:eastAsia="仿宋_GB2312" w:cs="Times New Roman"/>
          <w:kern w:val="2"/>
          <w:sz w:val="32"/>
          <w:szCs w:val="32"/>
          <w:highlight w:val="none"/>
          <w:lang w:val="en-US" w:eastAsia="zh-CN" w:bidi="ar-SA"/>
        </w:rPr>
        <w:t>方面的提升，为项目的利益相关者带来了实实在在的利益。</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green"/>
        </w:rPr>
      </w:pPr>
      <w:r>
        <w:rPr>
          <w:rFonts w:hint="default" w:ascii="Times New Roman" w:hAnsi="Times New Roman" w:eastAsia="仿宋_GB2312" w:cs="Times New Roman"/>
          <w:kern w:val="2"/>
          <w:sz w:val="32"/>
          <w:szCs w:val="32"/>
          <w:highlight w:val="none"/>
          <w:lang w:val="en-US" w:eastAsia="zh-CN" w:bidi="ar-SA"/>
        </w:rPr>
        <w:t>综上所述，2023年本级追加，达党财纪字〔2023〕2号，追加区委党校主体班次培训经费在绩效评价中表现出色，达到了项目的预期目标，并在多个方面取得了显著的成效。</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 xml:space="preserve">总得分为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分，属于“优”。其中，项目决策类指标权重为20分，得分为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%。具体打分情况详见：附件1综合评分表</w:t>
      </w:r>
      <w:r>
        <w:rPr>
          <w:rFonts w:hint="default" w:ascii="Times New Roman" w:hAnsi="Times New Roman" w:eastAsia="仿宋_GB2312" w:cs="Times New Roman"/>
          <w:b w:val="0"/>
          <w:bCs w:val="0"/>
          <w:highlight w:val="none"/>
          <w:lang w:eastAsia="zh-CN"/>
        </w:rPr>
        <w:t>。</w:t>
      </w:r>
    </w:p>
    <w:p>
      <w:pPr>
        <w:pStyle w:val="10"/>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4"/>
        <w:tblW w:w="8759" w:type="dxa"/>
        <w:jc w:val="center"/>
        <w:tblInd w:w="0" w:type="dxa"/>
        <w:tblLayout w:type="fixed"/>
        <w:tblCellMar>
          <w:top w:w="0" w:type="dxa"/>
          <w:left w:w="108" w:type="dxa"/>
          <w:bottom w:w="0" w:type="dxa"/>
          <w:right w:w="108" w:type="dxa"/>
        </w:tblCellMar>
      </w:tblPr>
      <w:tblGrid>
        <w:gridCol w:w="2787"/>
        <w:gridCol w:w="1926"/>
        <w:gridCol w:w="2023"/>
        <w:gridCol w:w="2023"/>
      </w:tblGrid>
      <w:tr>
        <w:tblPrEx>
          <w:tblLayout w:type="fixed"/>
          <w:tblCellMar>
            <w:top w:w="0" w:type="dxa"/>
            <w:left w:w="108" w:type="dxa"/>
            <w:bottom w:w="0" w:type="dxa"/>
            <w:right w:w="108" w:type="dxa"/>
          </w:tblCellMar>
        </w:tblPrEx>
        <w:trPr>
          <w:trHeight w:val="90" w:hRule="atLeast"/>
          <w:tblHeader/>
          <w:jc w:val="center"/>
        </w:trPr>
        <w:tc>
          <w:tcPr>
            <w:tcW w:w="278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1926"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023"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c>
          <w:tcPr>
            <w:tcW w:w="2023"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eastAsia"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得分率</w:t>
            </w:r>
          </w:p>
        </w:tc>
      </w:tr>
      <w:tr>
        <w:tblPrEx>
          <w:tblLayout w:type="fixed"/>
          <w:tblCellMar>
            <w:top w:w="0" w:type="dxa"/>
            <w:left w:w="108" w:type="dxa"/>
            <w:bottom w:w="0" w:type="dxa"/>
            <w:right w:w="108" w:type="dxa"/>
          </w:tblCellMar>
        </w:tblPrEx>
        <w:trPr>
          <w:trHeight w:val="340" w:hRule="atLeast"/>
          <w:jc w:val="center"/>
        </w:trPr>
        <w:tc>
          <w:tcPr>
            <w:tcW w:w="278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1926"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yellow"/>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2023"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1"/>
                <w:szCs w:val="21"/>
                <w:highlight w:val="none"/>
                <w:lang w:val="en-US" w:eastAsia="zh-CN" w:bidi="ar-SA"/>
              </w:rPr>
            </w:pPr>
            <w:r>
              <w:rPr>
                <w:rFonts w:hint="default" w:ascii="Times New Roman" w:hAnsi="Times New Roman" w:eastAsia="仿宋_GB2312" w:cs="Times New Roman"/>
                <w:color w:val="000000"/>
                <w:sz w:val="21"/>
                <w:szCs w:val="21"/>
                <w:highlight w:val="none"/>
                <w:lang w:val="en-US" w:eastAsia="zh-CN"/>
              </w:rPr>
              <w:t>20</w:t>
            </w:r>
          </w:p>
        </w:tc>
        <w:tc>
          <w:tcPr>
            <w:tcW w:w="2023"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1"/>
                <w:szCs w:val="21"/>
                <w:highlight w:val="none"/>
                <w:lang w:val="en-US" w:eastAsia="zh-CN" w:bidi="ar-SA"/>
              </w:rPr>
            </w:pPr>
            <w:r>
              <w:rPr>
                <w:rFonts w:hint="default" w:ascii="Times New Roman" w:hAnsi="Times New Roman" w:eastAsia="仿宋_GB2312" w:cs="Times New Roman"/>
                <w:color w:val="000000"/>
                <w:sz w:val="21"/>
                <w:szCs w:val="21"/>
                <w:highlight w:val="none"/>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278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1926"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yellow"/>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2023"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1"/>
                <w:szCs w:val="21"/>
                <w:highlight w:val="none"/>
                <w:lang w:val="en-US" w:eastAsia="zh-CN" w:bidi="ar-SA"/>
              </w:rPr>
            </w:pPr>
            <w:r>
              <w:rPr>
                <w:rFonts w:hint="default" w:ascii="Times New Roman" w:hAnsi="Times New Roman" w:eastAsia="仿宋_GB2312" w:cs="Times New Roman"/>
                <w:color w:val="000000"/>
                <w:sz w:val="21"/>
                <w:szCs w:val="21"/>
                <w:highlight w:val="none"/>
                <w:lang w:val="en-US" w:eastAsia="zh-CN"/>
              </w:rPr>
              <w:t>20</w:t>
            </w:r>
          </w:p>
        </w:tc>
        <w:tc>
          <w:tcPr>
            <w:tcW w:w="2023"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1"/>
                <w:szCs w:val="21"/>
                <w:highlight w:val="none"/>
                <w:lang w:val="en-US" w:eastAsia="zh-CN" w:bidi="ar-SA"/>
              </w:rPr>
            </w:pPr>
            <w:r>
              <w:rPr>
                <w:rFonts w:hint="default" w:ascii="Times New Roman" w:hAnsi="Times New Roman" w:eastAsia="仿宋_GB2312" w:cs="Times New Roman"/>
                <w:color w:val="000000"/>
                <w:sz w:val="21"/>
                <w:szCs w:val="21"/>
                <w:highlight w:val="none"/>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278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1926"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yellow"/>
                <w:lang w:val="en-US" w:eastAsia="zh-CN"/>
              </w:rPr>
            </w:pPr>
            <w:r>
              <w:rPr>
                <w:rFonts w:hint="default" w:ascii="Times New Roman" w:hAnsi="Times New Roman" w:eastAsia="仿宋_GB2312" w:cs="Times New Roman"/>
                <w:color w:val="000000"/>
                <w:sz w:val="21"/>
                <w:szCs w:val="21"/>
                <w:highlight w:val="none"/>
                <w:lang w:val="en-US" w:eastAsia="zh-CN"/>
              </w:rPr>
              <w:t>40</w:t>
            </w:r>
          </w:p>
        </w:tc>
        <w:tc>
          <w:tcPr>
            <w:tcW w:w="2023"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1"/>
                <w:szCs w:val="21"/>
                <w:highlight w:val="none"/>
                <w:lang w:val="en-US" w:eastAsia="zh-CN" w:bidi="ar-SA"/>
              </w:rPr>
            </w:pPr>
            <w:r>
              <w:rPr>
                <w:rFonts w:hint="default" w:ascii="Times New Roman" w:hAnsi="Times New Roman" w:eastAsia="仿宋_GB2312" w:cs="Times New Roman"/>
                <w:color w:val="000000"/>
                <w:sz w:val="21"/>
                <w:szCs w:val="21"/>
                <w:highlight w:val="none"/>
                <w:lang w:val="en-US" w:eastAsia="zh-CN"/>
              </w:rPr>
              <w:t>40</w:t>
            </w:r>
          </w:p>
        </w:tc>
        <w:tc>
          <w:tcPr>
            <w:tcW w:w="2023"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1"/>
                <w:szCs w:val="21"/>
                <w:highlight w:val="none"/>
                <w:lang w:val="en-US" w:eastAsia="zh-CN" w:bidi="ar-SA"/>
              </w:rPr>
            </w:pPr>
            <w:r>
              <w:rPr>
                <w:rFonts w:hint="default" w:ascii="Times New Roman" w:hAnsi="Times New Roman" w:eastAsia="仿宋_GB2312" w:cs="Times New Roman"/>
                <w:color w:val="000000"/>
                <w:sz w:val="21"/>
                <w:szCs w:val="21"/>
                <w:highlight w:val="none"/>
                <w:lang w:val="en-US" w:eastAsia="zh-CN"/>
              </w:rPr>
              <w:t>40</w:t>
            </w:r>
          </w:p>
        </w:tc>
      </w:tr>
      <w:tr>
        <w:tblPrEx>
          <w:tblLayout w:type="fixed"/>
          <w:tblCellMar>
            <w:top w:w="0" w:type="dxa"/>
            <w:left w:w="108" w:type="dxa"/>
            <w:bottom w:w="0" w:type="dxa"/>
            <w:right w:w="108" w:type="dxa"/>
          </w:tblCellMar>
        </w:tblPrEx>
        <w:trPr>
          <w:trHeight w:val="340" w:hRule="atLeast"/>
          <w:jc w:val="center"/>
        </w:trPr>
        <w:tc>
          <w:tcPr>
            <w:tcW w:w="278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1926"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yellow"/>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2023"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1"/>
                <w:szCs w:val="21"/>
                <w:highlight w:val="none"/>
                <w:lang w:val="en-US" w:eastAsia="zh-CN" w:bidi="ar-SA"/>
              </w:rPr>
            </w:pPr>
            <w:r>
              <w:rPr>
                <w:rFonts w:hint="default" w:ascii="Times New Roman" w:hAnsi="Times New Roman" w:eastAsia="仿宋_GB2312" w:cs="Times New Roman"/>
                <w:color w:val="000000"/>
                <w:sz w:val="21"/>
                <w:szCs w:val="21"/>
                <w:highlight w:val="none"/>
                <w:lang w:val="en-US" w:eastAsia="zh-CN"/>
              </w:rPr>
              <w:t>20</w:t>
            </w:r>
          </w:p>
        </w:tc>
        <w:tc>
          <w:tcPr>
            <w:tcW w:w="2023"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1"/>
                <w:szCs w:val="21"/>
                <w:highlight w:val="none"/>
                <w:lang w:val="en-US" w:eastAsia="zh-CN" w:bidi="ar-SA"/>
              </w:rPr>
            </w:pPr>
            <w:r>
              <w:rPr>
                <w:rFonts w:hint="default" w:ascii="Times New Roman" w:hAnsi="Times New Roman" w:eastAsia="仿宋_GB2312" w:cs="Times New Roman"/>
                <w:color w:val="000000"/>
                <w:sz w:val="21"/>
                <w:szCs w:val="21"/>
                <w:highlight w:val="none"/>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278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1926"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023"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kern w:val="2"/>
                <w:sz w:val="21"/>
                <w:szCs w:val="21"/>
                <w:lang w:val="en-US" w:eastAsia="zh-CN" w:bidi="ar-SA"/>
              </w:rPr>
            </w:pPr>
            <w:r>
              <w:rPr>
                <w:rFonts w:hint="default" w:ascii="Times New Roman" w:hAnsi="Times New Roman" w:eastAsia="仿宋_GB2312" w:cs="Times New Roman"/>
                <w:b/>
                <w:bCs/>
                <w:color w:val="000000"/>
                <w:sz w:val="21"/>
                <w:szCs w:val="21"/>
                <w:lang w:val="en-US" w:eastAsia="zh-CN"/>
              </w:rPr>
              <w:t>100</w:t>
            </w:r>
          </w:p>
        </w:tc>
        <w:tc>
          <w:tcPr>
            <w:tcW w:w="2023"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kern w:val="2"/>
                <w:sz w:val="21"/>
                <w:szCs w:val="21"/>
                <w:lang w:val="en-US" w:eastAsia="zh-CN" w:bidi="ar-SA"/>
              </w:rPr>
            </w:pPr>
            <w:r>
              <w:rPr>
                <w:rFonts w:hint="default" w:ascii="Times New Roman" w:hAnsi="Times New Roman" w:eastAsia="仿宋_GB2312" w:cs="Times New Roman"/>
                <w:b/>
                <w:bCs/>
                <w:color w:val="000000"/>
                <w:sz w:val="21"/>
                <w:szCs w:val="21"/>
                <w:lang w:val="en-US" w:eastAsia="zh-CN"/>
              </w:rPr>
              <w:t>100</w:t>
            </w:r>
          </w:p>
        </w:tc>
      </w:tr>
    </w:tbl>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0"/>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shd w:val="clear"/>
        <w:spacing w:line="600" w:lineRule="exact"/>
        <w:ind w:firstLine="640" w:firstLineChars="200"/>
        <w:outlineLvl w:val="0"/>
        <w:rPr>
          <w:rFonts w:hint="default" w:ascii="Times New Roman" w:hAnsi="Times New Roman" w:eastAsia="仿宋_GB2312" w:cs="Times New Roman"/>
          <w:sz w:val="32"/>
          <w:szCs w:val="32"/>
          <w:highlight w:val="yellow"/>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w:t>
      </w: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val="en-US" w:eastAsia="zh-CN"/>
        </w:rPr>
        <w:t>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highlight w:val="none"/>
          <w:lang w:val="en-US" w:eastAsia="zh-CN"/>
        </w:rPr>
        <w:t>根据决算依据编制工作计划和经费预算，经过与部门项目分管领导沟通、筛选确定经费预算计划，确定最终预算方案。项目的审批文件、材料符合相关要求，项目事前经过必要的可行性研究、绩效评估、集体决策，</w:t>
      </w:r>
      <w:r>
        <w:rPr>
          <w:rFonts w:hint="default" w:ascii="Times New Roman" w:hAnsi="Times New Roman" w:eastAsia="仿宋_GB2312" w:cs="Times New Roman"/>
          <w:sz w:val="32"/>
          <w:szCs w:val="32"/>
          <w:lang w:val="en-US" w:eastAsia="zh-CN"/>
        </w:rPr>
        <w:t>保障了程序的规范性。</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shd w:val="clear"/>
        <w:spacing w:line="600" w:lineRule="exact"/>
        <w:ind w:firstLine="640" w:firstLineChars="200"/>
        <w:outlineLvl w:val="0"/>
        <w:rPr>
          <w:rFonts w:hint="default" w:ascii="Times New Roman" w:hAnsi="Times New Roman" w:eastAsia="仿宋_GB2312" w:cs="Times New Roman"/>
          <w:sz w:val="32"/>
          <w:szCs w:val="32"/>
          <w:highlight w:val="green"/>
          <w:lang w:eastAsia="zh-CN"/>
        </w:rPr>
      </w:pPr>
      <w:r>
        <w:rPr>
          <w:rFonts w:hint="default" w:ascii="Times New Roman" w:hAnsi="Times New Roman" w:eastAsia="仿宋_GB2312" w:cs="Times New Roman"/>
          <w:sz w:val="32"/>
          <w:szCs w:val="32"/>
          <w:lang w:val="en-US"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0"/>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w:t>
      </w:r>
      <w:r>
        <w:rPr>
          <w:rFonts w:hint="default" w:ascii="Times New Roman" w:hAnsi="Times New Roman" w:eastAsia="仿宋_GB2312" w:cs="Times New Roman"/>
          <w:sz w:val="32"/>
          <w:szCs w:val="32"/>
          <w:lang w:val="en-US" w:eastAsia="zh-CN"/>
        </w:rPr>
        <w:t>三级指标构成，权重分值为20分，实际得分</w:t>
      </w:r>
      <w:r>
        <w:rPr>
          <w:rFonts w:hint="eastAsia"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本项目总投资</w:t>
      </w:r>
      <w:r>
        <w:rPr>
          <w:rFonts w:hint="eastAsia" w:eastAsia="仿宋_GB2312" w:cs="Times New Roman"/>
          <w:sz w:val="32"/>
          <w:szCs w:val="32"/>
          <w:lang w:val="en-US" w:eastAsia="zh-CN"/>
        </w:rPr>
        <w:t>12.62</w:t>
      </w:r>
      <w:r>
        <w:rPr>
          <w:rFonts w:hint="default" w:ascii="Times New Roman" w:hAnsi="Times New Roman" w:eastAsia="仿宋_GB2312" w:cs="Times New Roman"/>
          <w:sz w:val="32"/>
          <w:szCs w:val="32"/>
          <w:lang w:val="en-US" w:eastAsia="zh-CN"/>
        </w:rPr>
        <w:t>万元，财政资金及时足额到位，到位率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%，预算资金按计划进度执行。</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预算编制较为详细，项目资金支出总体能够按照预算执行，预算资金支出</w:t>
      </w:r>
      <w:r>
        <w:rPr>
          <w:rFonts w:hint="eastAsia" w:eastAsia="仿宋_GB2312" w:cs="Times New Roman"/>
          <w:sz w:val="32"/>
          <w:szCs w:val="32"/>
          <w:lang w:val="en-US" w:eastAsia="zh-CN"/>
        </w:rPr>
        <w:t>12.62</w:t>
      </w:r>
      <w:r>
        <w:rPr>
          <w:rFonts w:hint="default" w:ascii="Times New Roman" w:hAnsi="Times New Roman" w:eastAsia="仿宋_GB2312" w:cs="Times New Roman"/>
          <w:sz w:val="32"/>
          <w:szCs w:val="32"/>
          <w:lang w:val="en-US" w:eastAsia="zh-CN"/>
        </w:rPr>
        <w:t>万元，预算执行率为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本项目的资金使用严格遵循了</w:t>
      </w:r>
      <w:r>
        <w:rPr>
          <w:rFonts w:hint="eastAsia" w:ascii="Times New Roman" w:hAnsi="Times New Roman" w:eastAsia="仿宋_GB2312" w:cs="Times New Roman"/>
          <w:sz w:val="32"/>
          <w:szCs w:val="32"/>
          <w:lang w:val="en-US" w:eastAsia="zh-CN"/>
        </w:rPr>
        <w:t>《</w:t>
      </w:r>
      <w:bookmarkStart w:id="0" w:name="_Toc17369"/>
      <w:r>
        <w:rPr>
          <w:rFonts w:hint="eastAsia" w:ascii="Times New Roman" w:hAnsi="Times New Roman" w:eastAsia="仿宋_GB2312" w:cs="Times New Roman"/>
          <w:sz w:val="32"/>
          <w:szCs w:val="32"/>
          <w:lang w:val="en-US" w:eastAsia="zh-CN"/>
        </w:rPr>
        <w:t>达坂城</w:t>
      </w:r>
      <w:r>
        <w:rPr>
          <w:rFonts w:hint="eastAsia" w:eastAsia="仿宋_GB2312" w:cs="Times New Roman"/>
          <w:sz w:val="32"/>
          <w:szCs w:val="32"/>
          <w:lang w:val="en-US" w:eastAsia="zh-CN"/>
        </w:rPr>
        <w:t>区委党校</w:t>
      </w:r>
      <w:r>
        <w:rPr>
          <w:rFonts w:hint="eastAsia" w:ascii="Times New Roman" w:hAnsi="Times New Roman" w:eastAsia="仿宋_GB2312" w:cs="Times New Roman"/>
          <w:sz w:val="32"/>
          <w:szCs w:val="32"/>
          <w:lang w:val="en-US" w:eastAsia="zh-CN"/>
        </w:rPr>
        <w:t>财务审批管理制度</w:t>
      </w:r>
      <w:bookmarkEnd w:id="0"/>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，确保了资金的合规性与安全性。在资金使用过程中，我们建立了完善的财务管理体系，对资金的流动进行了全程监控与记录。</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本项目拥有一套完善、健全的管理制度体系，</w:t>
      </w:r>
      <w:r>
        <w:rPr>
          <w:rFonts w:hint="eastAsia" w:ascii="Times New Roman" w:hAnsi="Times New Roman" w:eastAsia="仿宋_GB2312" w:cs="Times New Roman"/>
          <w:sz w:val="32"/>
          <w:szCs w:val="32"/>
          <w:lang w:val="en-US" w:eastAsia="zh-CN"/>
        </w:rPr>
        <w:t>《达坂城区</w:t>
      </w:r>
      <w:r>
        <w:rPr>
          <w:rFonts w:hint="eastAsia" w:eastAsia="仿宋_GB2312" w:cs="Times New Roman"/>
          <w:sz w:val="32"/>
          <w:szCs w:val="32"/>
          <w:lang w:val="en-US" w:eastAsia="zh-CN"/>
        </w:rPr>
        <w:t>委党校</w:t>
      </w:r>
      <w:r>
        <w:rPr>
          <w:rFonts w:hint="eastAsia" w:ascii="Times New Roman" w:hAnsi="Times New Roman" w:eastAsia="仿宋_GB2312" w:cs="Times New Roman"/>
          <w:sz w:val="32"/>
          <w:szCs w:val="32"/>
          <w:lang w:val="en-US" w:eastAsia="zh-CN"/>
        </w:rPr>
        <w:t>财务审批管理制度》，</w:t>
      </w:r>
      <w:r>
        <w:rPr>
          <w:rFonts w:hint="default" w:ascii="Times New Roman" w:hAnsi="Times New Roman" w:eastAsia="仿宋_GB2312" w:cs="Times New Roman"/>
          <w:sz w:val="32"/>
          <w:szCs w:val="32"/>
          <w:lang w:val="en-US" w:eastAsia="zh-CN"/>
        </w:rPr>
        <w:t>为项目的成功实施提供了坚实的制度保障。项目管理制度的制定紧密结合了项目的特点与实际情况，涵盖了项目的策划、组织、实施、监控与收尾等各个环节。</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在制度设计上，我们注重了制度的科学性与可操作性，确保制度能够切实指导项目的执行与管理。</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pPr>
        <w:pStyle w:val="12"/>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个三级指标构成，权重分为40分，实际得分</w:t>
      </w:r>
      <w:r>
        <w:rPr>
          <w:rFonts w:hint="eastAsia" w:ascii="Times New Roman" w:hAnsi="Times New Roman" w:eastAsia="仿宋_GB2312" w:cs="Times New Roman"/>
          <w:sz w:val="32"/>
          <w:szCs w:val="32"/>
          <w:lang w:val="en-US" w:eastAsia="zh-CN"/>
        </w:rPr>
        <w:t>40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%。具体产出指标完成情况如下：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指标1：开展培训场次，指标值：</w:t>
      </w:r>
      <w:r>
        <w:rPr>
          <w:rFonts w:hint="eastAsia" w:eastAsia="仿宋_GB2312" w:cs="Times New Roman"/>
          <w:sz w:val="32"/>
          <w:szCs w:val="32"/>
          <w:highlight w:val="none"/>
          <w:lang w:val="en-US" w:eastAsia="zh-CN"/>
        </w:rPr>
        <w:t>≥1场次</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1场次</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r>
        <w:rPr>
          <w:rStyle w:val="16"/>
          <w:rFonts w:hint="eastAsia" w:ascii="Times New Roman" w:hAnsi="Times New Roman" w:eastAsia="仿宋_GB2312" w:cs="Times New Roman"/>
          <w:b w:val="0"/>
          <w:spacing w:val="-4"/>
          <w:kern w:val="2"/>
          <w:sz w:val="32"/>
          <w:szCs w:val="32"/>
          <w:lang w:val="en-US" w:eastAsia="zh-CN" w:bidi="ar-SA"/>
        </w:rPr>
        <w:t>按照达坂城区干部教育培训方案的要求，举办了中青年干部培训班、乡科级干部培训班</w:t>
      </w:r>
      <w:r>
        <w:rPr>
          <w:rStyle w:val="16"/>
          <w:rFonts w:hint="eastAsia" w:eastAsia="仿宋_GB2312" w:cs="Times New Roman"/>
          <w:b w:val="0"/>
          <w:spacing w:val="-4"/>
          <w:kern w:val="2"/>
          <w:sz w:val="32"/>
          <w:szCs w:val="32"/>
          <w:lang w:val="en-US" w:eastAsia="zh-CN" w:bidi="ar-SA"/>
        </w:rPr>
        <w:t>、一把手培训班、基层党员、入党积极分子、预备党员等培训班</w:t>
      </w:r>
      <w:r>
        <w:rPr>
          <w:rStyle w:val="16"/>
          <w:rFonts w:hint="eastAsia" w:ascii="Times New Roman" w:hAnsi="Times New Roman" w:eastAsia="仿宋_GB2312" w:cs="Times New Roman"/>
          <w:b w:val="0"/>
          <w:spacing w:val="-4"/>
          <w:kern w:val="2"/>
          <w:sz w:val="32"/>
          <w:szCs w:val="32"/>
          <w:lang w:val="en-US" w:eastAsia="zh-CN" w:bidi="ar-SA"/>
        </w:rPr>
        <w:t>，培训按期完成，有效保障了党校的培训工作。</w:t>
      </w:r>
    </w:p>
    <w:p>
      <w:pPr>
        <w:shd w:val="clear"/>
        <w:spacing w:line="600" w:lineRule="exact"/>
        <w:ind w:firstLine="640" w:firstLineChars="200"/>
        <w:outlineLvl w:val="0"/>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：参加培训人数</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30人</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实际完成值：3</w:t>
      </w:r>
      <w:r>
        <w:rPr>
          <w:rFonts w:hint="eastAsia"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人</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全年共培训30人，党校培训条件资源得到有效利用，有效发挥了主阵地、主渠道作用，为全区党员干部提供了良好的学习平台和环境，进一步加强了政治素养和工作能力。</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shd w:val="clear"/>
        <w:spacing w:line="600" w:lineRule="exact"/>
        <w:ind w:firstLine="640" w:firstLineChars="200"/>
        <w:outlineLvl w:val="0"/>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指标1：培训出勤率，指标值：</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100%个</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111.11</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r>
        <w:rPr>
          <w:rStyle w:val="16"/>
          <w:rFonts w:hint="eastAsia" w:ascii="Times New Roman" w:hAnsi="Times New Roman" w:eastAsia="仿宋_GB2312" w:cs="Times New Roman"/>
          <w:b w:val="0"/>
          <w:spacing w:val="-4"/>
          <w:kern w:val="2"/>
          <w:sz w:val="32"/>
          <w:szCs w:val="32"/>
          <w:lang w:val="en-US" w:eastAsia="zh-CN" w:bidi="ar-SA"/>
        </w:rPr>
        <w:t>根据学员的需求和工作实际，合理设置了培训课程，理论课程、实践课程及实地参观等课程，有效提高和吸引了培训的出勤率。</w:t>
      </w:r>
      <w:r>
        <w:rPr>
          <w:rStyle w:val="16"/>
          <w:rFonts w:hint="eastAsia" w:eastAsia="仿宋_GB2312" w:cs="Times New Roman"/>
          <w:b w:val="0"/>
          <w:spacing w:val="-4"/>
          <w:kern w:val="2"/>
          <w:sz w:val="32"/>
          <w:szCs w:val="32"/>
          <w:lang w:val="en-US" w:eastAsia="zh-CN" w:bidi="ar-SA"/>
        </w:rPr>
        <w:t>每期培训班学员按期参加培训，实行封闭式的培训模式，保证了上课、晚自习、调研等课程方面全员参加，高效完成培训计划。</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pPr>
        <w:spacing w:line="560" w:lineRule="exact"/>
        <w:ind w:firstLine="640" w:firstLineChars="200"/>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培训按期完成率</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111.11</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r>
        <w:rPr>
          <w:rFonts w:hint="eastAsia" w:ascii="Times New Roman" w:hAnsi="Times New Roman" w:eastAsia="仿宋_GB2312" w:cs="Times New Roman"/>
          <w:sz w:val="32"/>
          <w:szCs w:val="32"/>
          <w:lang w:val="en-US" w:eastAsia="zh-CN"/>
        </w:rPr>
        <w:t>按照目标设立的</w:t>
      </w:r>
      <w:r>
        <w:rPr>
          <w:rFonts w:hint="eastAsia" w:eastAsia="仿宋_GB2312" w:cs="Times New Roman"/>
          <w:sz w:val="32"/>
          <w:szCs w:val="32"/>
          <w:lang w:val="en-US" w:eastAsia="zh-CN"/>
        </w:rPr>
        <w:t>培训班次按期完成。</w:t>
      </w:r>
      <w:r>
        <w:rPr>
          <w:rFonts w:hint="eastAsia" w:ascii="Times New Roman" w:hAnsi="Times New Roman" w:eastAsia="仿宋_GB2312" w:cs="Times New Roman"/>
          <w:sz w:val="32"/>
          <w:szCs w:val="32"/>
          <w:lang w:val="en-US" w:eastAsia="zh-CN"/>
        </w:rPr>
        <w:t>已完成中青年干部培训班、乡科级干部培训班、进修班三类主体班次。培训规模、班次、人数再创历史新高，推动了干部教育培训全覆盖。</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pPr>
        <w:pStyle w:val="3"/>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sz w:val="32"/>
          <w:szCs w:val="32"/>
          <w:highlight w:val="none"/>
        </w:rPr>
        <w:t>指标1</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开展培训成本</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≤12.62万元</w:t>
      </w:r>
      <w:r>
        <w:rPr>
          <w:rFonts w:hint="default" w:ascii="Times New Roman" w:hAnsi="Times New Roman" w:eastAsia="仿宋_GB2312" w:cs="Times New Roman"/>
          <w:sz w:val="32"/>
          <w:szCs w:val="32"/>
          <w:highlight w:val="none"/>
        </w:rPr>
        <w:t>，实际完成值12.62万元，指标完成率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r>
        <w:rPr>
          <w:rFonts w:hint="eastAsia" w:ascii="Times New Roman" w:hAnsi="Times New Roman" w:eastAsia="仿宋_GB2312" w:cs="Times New Roman"/>
          <w:kern w:val="2"/>
          <w:sz w:val="32"/>
          <w:szCs w:val="32"/>
          <w:highlight w:val="none"/>
          <w:lang w:val="en-US" w:eastAsia="zh-CN" w:bidi="ar-SA"/>
        </w:rPr>
        <w:t>本项目实际支出</w:t>
      </w:r>
      <w:r>
        <w:rPr>
          <w:rFonts w:hint="eastAsia" w:eastAsia="仿宋_GB2312" w:cs="Times New Roman"/>
          <w:kern w:val="2"/>
          <w:sz w:val="32"/>
          <w:szCs w:val="32"/>
          <w:highlight w:val="none"/>
          <w:lang w:val="en-US" w:eastAsia="zh-CN" w:bidi="ar-SA"/>
        </w:rPr>
        <w:t>12.62</w:t>
      </w:r>
      <w:r>
        <w:rPr>
          <w:rFonts w:hint="eastAsia" w:ascii="Times New Roman" w:hAnsi="Times New Roman" w:eastAsia="仿宋_GB2312" w:cs="Times New Roman"/>
          <w:kern w:val="2"/>
          <w:sz w:val="32"/>
          <w:szCs w:val="32"/>
          <w:highlight w:val="none"/>
          <w:lang w:val="en-US" w:eastAsia="zh-CN" w:bidi="ar-SA"/>
        </w:rPr>
        <w:t>万元，无超支情况，项目资金全部完成</w:t>
      </w:r>
      <w:r>
        <w:rPr>
          <w:rFonts w:hint="eastAsia" w:eastAsia="仿宋_GB2312" w:cs="Times New Roman"/>
          <w:kern w:val="2"/>
          <w:sz w:val="32"/>
          <w:szCs w:val="32"/>
          <w:highlight w:val="none"/>
          <w:lang w:val="en-US" w:eastAsia="zh-CN" w:bidi="ar-SA"/>
        </w:rPr>
        <w:t>。</w:t>
      </w:r>
    </w:p>
    <w:p>
      <w:pPr>
        <w:pStyle w:val="12"/>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个三级指标构成，权重分为</w:t>
      </w: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0分，实际得分</w:t>
      </w:r>
      <w:r>
        <w:rPr>
          <w:rFonts w:hint="eastAsia"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%。具体效益指标及满意度指标完成情况如下：</w:t>
      </w:r>
    </w:p>
    <w:p>
      <w:pPr>
        <w:numPr>
          <w:ilvl w:val="0"/>
          <w:numId w:val="0"/>
        </w:num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实施效益</w:t>
      </w:r>
    </w:p>
    <w:p>
      <w:pPr>
        <w:numPr>
          <w:ilvl w:val="0"/>
          <w:numId w:val="0"/>
        </w:num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eastAsia" w:ascii="仿宋_GB2312" w:hAnsi="仿宋_GB2312" w:eastAsia="仿宋_GB2312" w:cs="仿宋_GB2312"/>
          <w:sz w:val="32"/>
          <w:szCs w:val="32"/>
          <w:lang w:val="en-US" w:eastAsia="zh-CN"/>
        </w:rPr>
        <w:t>社会效益指标：</w:t>
      </w:r>
    </w:p>
    <w:p>
      <w:pPr>
        <w:shd w:val="clear"/>
        <w:spacing w:line="600" w:lineRule="exact"/>
        <w:ind w:firstLine="640" w:firstLineChars="200"/>
        <w:outlineLvl w:val="0"/>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提升培训学员素质</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有效提升</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完全达到预期</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一是全面提升达坂城区党员干部理论素养和实践能力，把教育培训常态化制度化，确保学员学到“干货”，增强学习的趣味性。二是推进力干部人才队伍，进一步提高了干部的政治素质、业务水平和能力，有效提升了干部队伍的服务水平。</w:t>
      </w:r>
    </w:p>
    <w:p>
      <w:pPr>
        <w:numPr>
          <w:ilvl w:val="0"/>
          <w:numId w:val="0"/>
        </w:num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2.满意度</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default" w:ascii="Times New Roman" w:hAnsi="Times New Roman" w:eastAsia="仿宋_GB2312" w:cs="Times New Roman"/>
          <w:sz w:val="32"/>
          <w:szCs w:val="32"/>
          <w:highlight w:val="none"/>
        </w:rPr>
        <w:t>学员满意度</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r>
        <w:rPr>
          <w:rFonts w:hint="eastAsia" w:ascii="Times New Roman" w:hAnsi="Times New Roman" w:eastAsia="仿宋_GB2312" w:cs="Times New Roman"/>
          <w:kern w:val="2"/>
          <w:sz w:val="32"/>
          <w:szCs w:val="32"/>
          <w:highlight w:val="none"/>
          <w:lang w:val="en-US" w:eastAsia="zh-CN" w:bidi="ar-SA"/>
        </w:rPr>
        <w:t>通过设置</w:t>
      </w:r>
      <w:r>
        <w:rPr>
          <w:rFonts w:hint="eastAsia" w:eastAsia="仿宋_GB2312" w:cs="Times New Roman"/>
          <w:kern w:val="2"/>
          <w:sz w:val="32"/>
          <w:szCs w:val="32"/>
          <w:highlight w:val="none"/>
          <w:lang w:val="en-US" w:eastAsia="zh-CN" w:bidi="ar-SA"/>
        </w:rPr>
        <w:t>学员</w:t>
      </w:r>
      <w:r>
        <w:rPr>
          <w:rFonts w:hint="eastAsia" w:ascii="Times New Roman" w:hAnsi="Times New Roman" w:eastAsia="仿宋_GB2312" w:cs="Times New Roman"/>
          <w:kern w:val="2"/>
          <w:sz w:val="32"/>
          <w:szCs w:val="32"/>
          <w:highlight w:val="none"/>
          <w:lang w:val="en-US" w:eastAsia="zh-CN" w:bidi="ar-SA"/>
        </w:rPr>
        <w:t>问卷调查的方式进行考评评价，共计调查样本总量为</w:t>
      </w:r>
      <w:r>
        <w:rPr>
          <w:rFonts w:hint="eastAsia" w:eastAsia="仿宋_GB2312" w:cs="Times New Roman"/>
          <w:kern w:val="2"/>
          <w:sz w:val="32"/>
          <w:szCs w:val="32"/>
          <w:highlight w:val="none"/>
          <w:lang w:val="en-US" w:eastAsia="zh-CN" w:bidi="ar-SA"/>
        </w:rPr>
        <w:t>30</w:t>
      </w:r>
      <w:r>
        <w:rPr>
          <w:rFonts w:hint="eastAsia" w:ascii="Times New Roman" w:hAnsi="Times New Roman" w:eastAsia="仿宋_GB2312" w:cs="Times New Roman"/>
          <w:kern w:val="2"/>
          <w:sz w:val="32"/>
          <w:szCs w:val="32"/>
          <w:highlight w:val="none"/>
          <w:lang w:val="en-US" w:eastAsia="zh-CN" w:bidi="ar-SA"/>
        </w:rPr>
        <w:t>个样本，有效调查问卷</w:t>
      </w:r>
      <w:r>
        <w:rPr>
          <w:rFonts w:hint="eastAsia" w:eastAsia="仿宋_GB2312" w:cs="Times New Roman"/>
          <w:kern w:val="2"/>
          <w:sz w:val="32"/>
          <w:szCs w:val="32"/>
          <w:highlight w:val="none"/>
          <w:lang w:val="en-US" w:eastAsia="zh-CN" w:bidi="ar-SA"/>
        </w:rPr>
        <w:t>30</w:t>
      </w:r>
      <w:r>
        <w:rPr>
          <w:rFonts w:hint="eastAsia" w:ascii="Times New Roman" w:hAnsi="Times New Roman" w:eastAsia="仿宋_GB2312" w:cs="Times New Roman"/>
          <w:kern w:val="2"/>
          <w:sz w:val="32"/>
          <w:szCs w:val="32"/>
          <w:highlight w:val="none"/>
          <w:lang w:val="en-US" w:eastAsia="zh-CN" w:bidi="ar-SA"/>
        </w:rPr>
        <w:t>份。其中，统计</w:t>
      </w:r>
      <w:r>
        <w:rPr>
          <w:rFonts w:hint="eastAsia" w:eastAsia="仿宋_GB2312" w:cs="Times New Roman"/>
          <w:kern w:val="2"/>
          <w:sz w:val="32"/>
          <w:szCs w:val="32"/>
          <w:highlight w:val="none"/>
          <w:lang w:val="en-US" w:eastAsia="zh-CN" w:bidi="ar-SA"/>
        </w:rPr>
        <w:t>30份</w:t>
      </w:r>
      <w:r>
        <w:rPr>
          <w:rFonts w:hint="eastAsia" w:ascii="Times New Roman" w:hAnsi="Times New Roman" w:eastAsia="仿宋_GB2312" w:cs="Times New Roman"/>
          <w:kern w:val="2"/>
          <w:sz w:val="32"/>
          <w:szCs w:val="32"/>
          <w:highlight w:val="none"/>
          <w:lang w:val="en-US" w:eastAsia="zh-CN" w:bidi="ar-SA"/>
        </w:rPr>
        <w:t>的平均值为</w:t>
      </w:r>
      <w:r>
        <w:rPr>
          <w:rFonts w:hint="eastAsia" w:eastAsia="仿宋_GB2312" w:cs="Times New Roman"/>
          <w:kern w:val="2"/>
          <w:sz w:val="32"/>
          <w:szCs w:val="32"/>
          <w:highlight w:val="none"/>
          <w:lang w:val="en-US" w:eastAsia="zh-CN" w:bidi="ar-SA"/>
        </w:rPr>
        <w:t>90</w:t>
      </w:r>
      <w:r>
        <w:rPr>
          <w:rFonts w:hint="eastAsia" w:ascii="Times New Roman" w:hAnsi="Times New Roman" w:eastAsia="仿宋_GB2312" w:cs="Times New Roman"/>
          <w:kern w:val="2"/>
          <w:sz w:val="32"/>
          <w:szCs w:val="32"/>
          <w:highlight w:val="none"/>
          <w:lang w:val="en-US" w:eastAsia="zh-CN" w:bidi="ar-SA"/>
        </w:rPr>
        <w:t>%。</w:t>
      </w:r>
    </w:p>
    <w:p>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pPr>
        <w:pStyle w:val="19"/>
        <w:spacing w:line="560" w:lineRule="exact"/>
        <w:ind w:firstLine="64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val="en-US" w:eastAsia="zh-CN"/>
        </w:rPr>
        <w:t>2023年本级追加，达党财纪字〔2023〕2号，追加区委党校主体班次培训经费年初预算12.62</w:t>
      </w:r>
      <w:r>
        <w:rPr>
          <w:rFonts w:hint="default" w:ascii="Times New Roman" w:hAnsi="Times New Roman" w:eastAsia="仿宋_GB2312" w:cs="Times New Roman"/>
          <w:sz w:val="32"/>
          <w:szCs w:val="32"/>
          <w:highlight w:val="none"/>
        </w:rPr>
        <w:t>万元，全年预算</w:t>
      </w:r>
      <w:r>
        <w:rPr>
          <w:rFonts w:hint="default" w:ascii="Times New Roman" w:hAnsi="Times New Roman" w:eastAsia="仿宋_GB2312" w:cs="Times New Roman"/>
          <w:sz w:val="32"/>
          <w:szCs w:val="32"/>
          <w:highlight w:val="none"/>
          <w:lang w:val="en-US" w:eastAsia="zh-CN"/>
        </w:rPr>
        <w:t>12.62</w:t>
      </w:r>
      <w:r>
        <w:rPr>
          <w:rFonts w:hint="default" w:ascii="Times New Roman" w:hAnsi="Times New Roman" w:eastAsia="仿宋_GB2312" w:cs="Times New Roman"/>
          <w:sz w:val="32"/>
          <w:szCs w:val="32"/>
          <w:highlight w:val="none"/>
        </w:rPr>
        <w:t>万元，实际支出</w:t>
      </w:r>
      <w:r>
        <w:rPr>
          <w:rFonts w:hint="default" w:ascii="Times New Roman" w:hAnsi="Times New Roman" w:eastAsia="仿宋_GB2312" w:cs="Times New Roman"/>
          <w:sz w:val="32"/>
          <w:szCs w:val="32"/>
          <w:highlight w:val="none"/>
          <w:lang w:val="en-US" w:eastAsia="zh-CN"/>
        </w:rPr>
        <w:t>12.62</w:t>
      </w:r>
      <w:r>
        <w:rPr>
          <w:rFonts w:hint="default" w:ascii="Times New Roman" w:hAnsi="Times New Roman" w:eastAsia="仿宋_GB2312" w:cs="Times New Roman"/>
          <w:sz w:val="32"/>
          <w:szCs w:val="32"/>
          <w:highlight w:val="none"/>
        </w:rPr>
        <w:t>万元，</w:t>
      </w:r>
      <w:r>
        <w:rPr>
          <w:rFonts w:hint="default" w:ascii="Times New Roman" w:hAnsi="Times New Roman" w:eastAsia="仿宋_GB2312" w:cs="Times New Roman"/>
          <w:kern w:val="2"/>
          <w:sz w:val="32"/>
          <w:szCs w:val="32"/>
          <w:highlight w:val="none"/>
          <w:lang w:val="en-US" w:eastAsia="zh-CN" w:bidi="ar-SA"/>
        </w:rPr>
        <w:t>预算执行率为100%，项目绩效指标总体完成率为103.2%，</w:t>
      </w:r>
      <w:r>
        <w:rPr>
          <w:rFonts w:hint="default" w:ascii="Times New Roman" w:hAnsi="Times New Roman" w:eastAsia="仿宋_GB2312" w:cs="Times New Roman"/>
          <w:sz w:val="32"/>
          <w:szCs w:val="32"/>
          <w:highlight w:val="none"/>
          <w:lang w:eastAsia="zh-Hans"/>
        </w:rPr>
        <w:t>总体</w:t>
      </w:r>
      <w:r>
        <w:rPr>
          <w:rFonts w:hint="default" w:ascii="Times New Roman" w:hAnsi="Times New Roman" w:eastAsia="仿宋_GB2312" w:cs="Times New Roman"/>
          <w:sz w:val="32"/>
          <w:szCs w:val="32"/>
          <w:highlight w:val="none"/>
        </w:rPr>
        <w:t>偏差率为</w:t>
      </w:r>
      <w:r>
        <w:rPr>
          <w:rFonts w:hint="default" w:ascii="Times New Roman" w:hAnsi="Times New Roman" w:eastAsia="仿宋_GB2312" w:cs="Times New Roman"/>
          <w:sz w:val="32"/>
          <w:szCs w:val="32"/>
          <w:highlight w:val="none"/>
          <w:lang w:val="en-US" w:eastAsia="zh-CN"/>
        </w:rPr>
        <w:t>3.2%</w:t>
      </w:r>
      <w:r>
        <w:rPr>
          <w:rFonts w:hint="default" w:ascii="Times New Roman" w:hAnsi="Times New Roman" w:eastAsia="仿宋_GB2312" w:cs="Times New Roman"/>
          <w:kern w:val="2"/>
          <w:sz w:val="32"/>
          <w:szCs w:val="32"/>
          <w:highlight w:val="none"/>
          <w:lang w:val="en-US" w:eastAsia="zh-CN" w:bidi="ar-SA"/>
        </w:rPr>
        <w:t>。</w:t>
      </w:r>
    </w:p>
    <w:p>
      <w:pPr>
        <w:spacing w:line="560" w:lineRule="exact"/>
        <w:ind w:firstLine="640" w:firstLineChars="200"/>
        <w:rPr>
          <w:rStyle w:val="18"/>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黑体" w:cs="Times New Roman"/>
          <w:sz w:val="32"/>
          <w:szCs w:val="32"/>
        </w:rPr>
        <w:t>主要经验及做法、存在的问题及原因分析</w:t>
      </w:r>
    </w:p>
    <w:p>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0"/>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5"/>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六、</w:t>
      </w:r>
      <w:r>
        <w:rPr>
          <w:rFonts w:hint="default" w:ascii="Times New Roman" w:hAnsi="Times New Roman" w:eastAsia="黑体" w:cs="Times New Roman"/>
          <w:sz w:val="32"/>
          <w:szCs w:val="32"/>
        </w:rPr>
        <w:t>有关建议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多进行有关绩效管理工作方面的培训。积极组织第三方开展绩效管理工作培训，进一步夯实业务基础，提高我单位绩效人员水平。</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黑体" w:cs="Times New Roman"/>
          <w:sz w:val="32"/>
          <w:szCs w:val="32"/>
        </w:rPr>
        <w:t>其他需要说</w:t>
      </w:r>
      <w:bookmarkStart w:id="1" w:name="page8"/>
      <w:bookmarkEnd w:id="1"/>
      <w:r>
        <w:rPr>
          <w:rFonts w:hint="default" w:ascii="Times New Roman" w:hAnsi="Times New Roman" w:eastAsia="黑体" w:cs="Times New Roman"/>
          <w:sz w:val="32"/>
          <w:szCs w:val="32"/>
        </w:rPr>
        <w:t>明的问题</w:t>
      </w:r>
    </w:p>
    <w:p>
      <w:pPr>
        <w:pStyle w:val="3"/>
        <w:ind w:firstLine="640" w:firstLineChars="200"/>
        <w:rPr>
          <w:rFonts w:hint="eastAsia" w:eastAsia="仿宋_GB2312" w:cs="Times New Roman"/>
          <w:kern w:val="2"/>
          <w:sz w:val="32"/>
          <w:szCs w:val="32"/>
          <w:highlight w:val="none"/>
          <w:lang w:val="en-US" w:eastAsia="zh-CN" w:bidi="ar-SA"/>
        </w:rPr>
      </w:pPr>
      <w:bookmarkStart w:id="4" w:name="_GoBack"/>
      <w:r>
        <w:rPr>
          <w:rFonts w:hint="eastAsia" w:ascii="Times New Roman" w:hAnsi="Times New Roman" w:eastAsia="仿宋_GB2312" w:cs="Times New Roman"/>
          <w:kern w:val="2"/>
          <w:sz w:val="32"/>
          <w:szCs w:val="32"/>
          <w:highlight w:val="none"/>
          <w:lang w:val="en-US" w:eastAsia="zh-CN" w:bidi="ar-SA"/>
        </w:rPr>
        <w:t>项目支出的政策和路径设置科学，</w:t>
      </w:r>
      <w:r>
        <w:rPr>
          <w:rFonts w:hint="eastAsia" w:eastAsia="仿宋_GB2312" w:cs="Times New Roman"/>
          <w:kern w:val="2"/>
          <w:sz w:val="32"/>
          <w:szCs w:val="32"/>
          <w:highlight w:val="none"/>
          <w:lang w:val="en-US" w:eastAsia="zh-CN" w:bidi="ar-SA"/>
        </w:rPr>
        <w:t>符合实际需要。项目安排准确，未发现背离项目立项初衷的情况。</w:t>
      </w:r>
    </w:p>
    <w:p>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1440" w:right="1558" w:bottom="1440" w:left="1800" w:header="851" w:footer="992" w:gutter="0"/>
          <w:pgNumType w:start="1"/>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pStyle w:val="19"/>
        <w:ind w:firstLine="562"/>
        <w:jc w:val="center"/>
        <w:rPr>
          <w:rFonts w:hint="eastAsia" w:ascii="仿宋_GB2312" w:hAnsi="仿宋_GB2312" w:eastAsia="仿宋_GB2312" w:cs="仿宋_GB2312"/>
          <w:sz w:val="28"/>
          <w:szCs w:val="40"/>
        </w:rPr>
      </w:pPr>
      <w:bookmarkStart w:id="2" w:name="_Toc26499_WPSOffice_Level2"/>
      <w:bookmarkStart w:id="3" w:name="_Toc30064_WPSOffice_Level1"/>
      <w:r>
        <w:rPr>
          <w:rFonts w:hint="eastAsia" w:ascii="仿宋_GB2312" w:hAnsi="仿宋_GB2312" w:eastAsia="仿宋_GB2312" w:cs="仿宋_GB2312"/>
          <w:b/>
          <w:bCs/>
          <w:sz w:val="28"/>
          <w:szCs w:val="40"/>
          <w:lang w:val="en-US" w:eastAsia="zh-CN"/>
        </w:rPr>
        <w:t>2023年本级追加，达党财纪字〔2023〕2号，追加区委党校主体班次培训经费</w:t>
      </w:r>
      <w:r>
        <w:rPr>
          <w:rFonts w:hint="eastAsia" w:ascii="仿宋_GB2312" w:hAnsi="仿宋_GB2312" w:eastAsia="仿宋_GB2312" w:cs="仿宋_GB2312"/>
          <w:b/>
          <w:bCs/>
          <w:sz w:val="28"/>
          <w:szCs w:val="40"/>
        </w:rPr>
        <w:t>绩效评价指标体系及综合评分表</w:t>
      </w:r>
      <w:bookmarkEnd w:id="2"/>
      <w:bookmarkEnd w:id="3"/>
    </w:p>
    <w:tbl>
      <w:tblPr>
        <w:tblStyle w:val="14"/>
        <w:tblW w:w="12683"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2"/>
        <w:gridCol w:w="1000"/>
        <w:gridCol w:w="1071"/>
        <w:gridCol w:w="1725"/>
        <w:gridCol w:w="5216"/>
        <w:gridCol w:w="5"/>
        <w:gridCol w:w="1299"/>
        <w:gridCol w:w="136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52" w:hRule="atLeast"/>
          <w:tblHeader/>
          <w:jc w:val="center"/>
        </w:trPr>
        <w:tc>
          <w:tcPr>
            <w:tcW w:w="1002"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1725"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521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1304" w:type="dxa"/>
            <w:gridSpan w:val="2"/>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1365"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919" w:hRule="atLeast"/>
          <w:jc w:val="center"/>
        </w:trPr>
        <w:tc>
          <w:tcPr>
            <w:tcW w:w="1002"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1725"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1304" w:type="dxa"/>
            <w:gridSpan w:val="2"/>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5"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ascii="Times New Roman" w:hAnsi="Times New Roman" w:eastAsia="仿宋_GB2312" w:cs="Times New Roman"/>
                <w:b/>
                <w:bCs/>
                <w:color w:val="000000"/>
                <w:kern w:val="0"/>
                <w:sz w:val="18"/>
                <w:szCs w:val="18"/>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1002"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1725"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1304" w:type="dxa"/>
            <w:gridSpan w:val="2"/>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5"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default" w:ascii="Times New Roman" w:hAnsi="Times New Roman" w:eastAsia="仿宋_GB2312" w:cs="Times New Roman"/>
                <w:b/>
                <w:bCs/>
                <w:color w:val="000000"/>
                <w:kern w:val="0"/>
                <w:sz w:val="18"/>
                <w:szCs w:val="18"/>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1002"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5"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5216" w:type="dxa"/>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1304" w:type="dxa"/>
            <w:gridSpan w:val="2"/>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5"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1002"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1725"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1304" w:type="dxa"/>
            <w:gridSpan w:val="2"/>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5"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1002"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1725"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1304" w:type="dxa"/>
            <w:gridSpan w:val="2"/>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5"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1002"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5"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1304" w:type="dxa"/>
            <w:gridSpan w:val="2"/>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5"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1002" w:type="dxa"/>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1725"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1304" w:type="dxa"/>
            <w:gridSpan w:val="2"/>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5"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1002"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1725"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1304" w:type="dxa"/>
            <w:gridSpan w:val="2"/>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5"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1002"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1725"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1304" w:type="dxa"/>
            <w:gridSpan w:val="2"/>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5"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1002"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1725"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1304" w:type="dxa"/>
            <w:gridSpan w:val="2"/>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5"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1002"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1725"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1304" w:type="dxa"/>
            <w:gridSpan w:val="2"/>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5"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33" w:hRule="atLeast"/>
          <w:jc w:val="center"/>
        </w:trPr>
        <w:tc>
          <w:tcPr>
            <w:tcW w:w="1002"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1725"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1304" w:type="dxa"/>
            <w:gridSpan w:val="2"/>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5"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51" w:hRule="atLeast"/>
          <w:jc w:val="center"/>
        </w:trPr>
        <w:tc>
          <w:tcPr>
            <w:tcW w:w="1002"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1725"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4" w:type="dxa"/>
            <w:gridSpan w:val="2"/>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5"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49" w:hRule="atLeast"/>
          <w:jc w:val="center"/>
        </w:trPr>
        <w:tc>
          <w:tcPr>
            <w:tcW w:w="1002"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1725"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1304" w:type="dxa"/>
            <w:gridSpan w:val="2"/>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5"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1002"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1725"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1304" w:type="dxa"/>
            <w:gridSpan w:val="2"/>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5"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1002"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1725"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1304" w:type="dxa"/>
            <w:gridSpan w:val="2"/>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5"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33" w:hRule="atLeast"/>
          <w:jc w:val="center"/>
        </w:trPr>
        <w:tc>
          <w:tcPr>
            <w:tcW w:w="1002"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highlight w:val="none"/>
              </w:rPr>
              <w:t>满意度</w:t>
            </w:r>
          </w:p>
        </w:tc>
        <w:tc>
          <w:tcPr>
            <w:tcW w:w="1725"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1304" w:type="dxa"/>
            <w:gridSpan w:val="2"/>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5"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93" w:hRule="atLeast"/>
          <w:jc w:val="center"/>
        </w:trPr>
        <w:tc>
          <w:tcPr>
            <w:tcW w:w="10019" w:type="dxa"/>
            <w:gridSpan w:val="6"/>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合计</w:t>
            </w:r>
          </w:p>
        </w:tc>
        <w:tc>
          <w:tcPr>
            <w:tcW w:w="1299"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fldChar w:fldCharType="begin"/>
            </w:r>
            <w:r>
              <w:rPr>
                <w:rFonts w:hint="default" w:ascii="Times New Roman" w:hAnsi="Times New Roman" w:eastAsia="仿宋_GB2312" w:cs="Times New Roman"/>
                <w:b/>
                <w:bCs/>
                <w:color w:val="000000"/>
                <w:kern w:val="0"/>
                <w:sz w:val="18"/>
                <w:szCs w:val="18"/>
              </w:rPr>
              <w:instrText xml:space="preserve"> = sum(F2:F18) \* MERGEFORMAT </w:instrText>
            </w:r>
            <w:r>
              <w:rPr>
                <w:rFonts w:hint="default" w:ascii="Times New Roman" w:hAnsi="Times New Roman" w:eastAsia="仿宋_GB2312" w:cs="Times New Roman"/>
                <w:b/>
                <w:bCs/>
                <w:color w:val="000000"/>
                <w:kern w:val="0"/>
                <w:sz w:val="18"/>
                <w:szCs w:val="18"/>
              </w:rPr>
              <w:fldChar w:fldCharType="separate"/>
            </w:r>
            <w:r>
              <w:rPr>
                <w:rFonts w:hint="default" w:ascii="Times New Roman" w:hAnsi="Times New Roman" w:eastAsia="仿宋_GB2312" w:cs="Times New Roman"/>
                <w:b/>
                <w:bCs/>
                <w:color w:val="000000"/>
                <w:kern w:val="0"/>
                <w:sz w:val="18"/>
                <w:szCs w:val="18"/>
              </w:rPr>
              <w:t>100</w:t>
            </w:r>
            <w:r>
              <w:rPr>
                <w:rFonts w:hint="default" w:ascii="Times New Roman" w:hAnsi="Times New Roman" w:eastAsia="仿宋_GB2312" w:cs="Times New Roman"/>
                <w:b/>
                <w:bCs/>
                <w:color w:val="000000"/>
                <w:kern w:val="0"/>
                <w:sz w:val="18"/>
                <w:szCs w:val="18"/>
              </w:rPr>
              <w:fldChar w:fldCharType="end"/>
            </w:r>
          </w:p>
        </w:tc>
        <w:tc>
          <w:tcPr>
            <w:tcW w:w="1365"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yellow"/>
                <w:lang w:val="en-US" w:eastAsia="zh-CN"/>
              </w:rPr>
            </w:pPr>
            <w:r>
              <w:rPr>
                <w:rFonts w:hint="default" w:ascii="Times New Roman" w:hAnsi="Times New Roman" w:eastAsia="仿宋_GB2312" w:cs="Times New Roman"/>
                <w:b/>
                <w:bCs/>
                <w:color w:val="000000"/>
                <w:kern w:val="0"/>
                <w:sz w:val="18"/>
                <w:szCs w:val="18"/>
              </w:rPr>
              <w:t>1</w:t>
            </w:r>
            <w:r>
              <w:rPr>
                <w:rFonts w:hint="eastAsia" w:eastAsia="仿宋_GB2312" w:cs="Times New Roman"/>
                <w:b/>
                <w:bCs/>
                <w:color w:val="000000"/>
                <w:kern w:val="0"/>
                <w:sz w:val="18"/>
                <w:szCs w:val="18"/>
                <w:lang w:val="en-US" w:eastAsia="zh-CN"/>
              </w:rPr>
              <w:t>00</w:t>
            </w:r>
          </w:p>
        </w:tc>
      </w:tr>
    </w:tbl>
    <w:p>
      <w:pPr>
        <w:rPr>
          <w:rFonts w:hint="default" w:ascii="Times New Roman" w:hAnsi="Times New Roman" w:cs="Times New Roman"/>
        </w:rPr>
        <w:sectPr>
          <w:pgSz w:w="16838" w:h="11906" w:orient="landscape"/>
          <w:pgMar w:top="1800" w:right="1440" w:bottom="1558" w:left="1440" w:header="851" w:footer="992" w:gutter="0"/>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4"/>
        <w:tblW w:w="1248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15"/>
        <w:gridCol w:w="816"/>
        <w:gridCol w:w="1621"/>
        <w:gridCol w:w="1291"/>
        <w:gridCol w:w="1171"/>
        <w:gridCol w:w="1754"/>
        <w:gridCol w:w="1716"/>
        <w:gridCol w:w="376"/>
        <w:gridCol w:w="368"/>
        <w:gridCol w:w="395"/>
        <w:gridCol w:w="493"/>
        <w:gridCol w:w="661"/>
        <w:gridCol w:w="10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99" w:hRule="atLeast"/>
        </w:trPr>
        <w:tc>
          <w:tcPr>
            <w:tcW w:w="16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0849"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2023年本级追加，达党财纪字〔2023〕2号，追加区委党校主体班次培训经费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99" w:hRule="atLeast"/>
        </w:trPr>
        <w:tc>
          <w:tcPr>
            <w:tcW w:w="16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40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中共乌鲁木齐市达坂城区委员会党校本级（参公）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01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中共乌鲁木齐市达坂城区委员会党校本级（参公）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99" w:hRule="atLeast"/>
        </w:trPr>
        <w:tc>
          <w:tcPr>
            <w:tcW w:w="163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9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20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7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99" w:hRule="atLeast"/>
        </w:trPr>
        <w:tc>
          <w:tcPr>
            <w:tcW w:w="163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9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12.62</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12.62</w:t>
            </w:r>
          </w:p>
        </w:tc>
        <w:tc>
          <w:tcPr>
            <w:tcW w:w="20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12.62</w:t>
            </w:r>
          </w:p>
        </w:tc>
        <w:tc>
          <w:tcPr>
            <w:tcW w:w="7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99" w:hRule="atLeast"/>
        </w:trPr>
        <w:tc>
          <w:tcPr>
            <w:tcW w:w="163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9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12.62</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12.62</w:t>
            </w:r>
          </w:p>
        </w:tc>
        <w:tc>
          <w:tcPr>
            <w:tcW w:w="20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12.62</w:t>
            </w:r>
          </w:p>
        </w:tc>
        <w:tc>
          <w:tcPr>
            <w:tcW w:w="7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99" w:hRule="atLeast"/>
        </w:trPr>
        <w:tc>
          <w:tcPr>
            <w:tcW w:w="163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9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0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99" w:hRule="atLeast"/>
        </w:trPr>
        <w:tc>
          <w:tcPr>
            <w:tcW w:w="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66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501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48"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653" w:type="dxa"/>
            <w:gridSpan w:val="5"/>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认真抓好党员干部理论培训、党性教育、队伍建设等工作</w:t>
            </w:r>
          </w:p>
        </w:tc>
        <w:tc>
          <w:tcPr>
            <w:tcW w:w="5012"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截止2024年12月31日，已完成开展培训1次，参与培训30人，通过培训有效提升培训学员素质。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 w:hRule="atLeast"/>
        </w:trPr>
        <w:tc>
          <w:tcPr>
            <w:tcW w:w="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6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46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7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17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74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88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166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45"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8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00" w:hRule="atLeast"/>
        </w:trPr>
        <w:tc>
          <w:tcPr>
            <w:tcW w:w="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8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6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46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开展培训场次</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&gt;=1场次</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=1场次</w:t>
            </w:r>
          </w:p>
        </w:tc>
        <w:tc>
          <w:tcPr>
            <w:tcW w:w="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00"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6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参加培训人数</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&gt;=30人</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=30人</w:t>
            </w:r>
          </w:p>
        </w:tc>
        <w:tc>
          <w:tcPr>
            <w:tcW w:w="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00"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46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培训出勤率</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r>
              <w:rPr>
                <w:rFonts w:hint="eastAsia" w:ascii="宋体" w:hAnsi="宋体" w:cs="宋体"/>
                <w:i w:val="0"/>
                <w:iCs w:val="0"/>
                <w:color w:val="000000"/>
                <w:kern w:val="0"/>
                <w:sz w:val="20"/>
                <w:szCs w:val="20"/>
                <w:u w:val="none"/>
                <w:lang w:val="en-US" w:eastAsia="zh-CN" w:bidi="ar"/>
              </w:rPr>
              <w:t>100</w:t>
            </w:r>
            <w:r>
              <w:rPr>
                <w:rFonts w:hint="eastAsia" w:ascii="宋体" w:hAnsi="宋体" w:eastAsia="宋体" w:cs="宋体"/>
                <w:i w:val="0"/>
                <w:iCs w:val="0"/>
                <w:color w:val="000000"/>
                <w:kern w:val="0"/>
                <w:sz w:val="20"/>
                <w:szCs w:val="20"/>
                <w:u w:val="none"/>
                <w:lang w:val="en-US" w:eastAsia="zh-CN" w:bidi="ar"/>
              </w:rPr>
              <w:t>%</w:t>
            </w:r>
          </w:p>
        </w:tc>
        <w:tc>
          <w:tcPr>
            <w:tcW w:w="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00"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46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培训按期完成率</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r>
              <w:rPr>
                <w:rFonts w:hint="eastAsia" w:ascii="宋体" w:hAnsi="宋体" w:cs="宋体"/>
                <w:i w:val="0"/>
                <w:iCs w:val="0"/>
                <w:color w:val="000000"/>
                <w:kern w:val="0"/>
                <w:sz w:val="20"/>
                <w:szCs w:val="20"/>
                <w:u w:val="none"/>
                <w:lang w:val="en-US" w:eastAsia="zh-CN" w:bidi="ar"/>
              </w:rPr>
              <w:t>100</w:t>
            </w:r>
            <w:r>
              <w:rPr>
                <w:rFonts w:hint="eastAsia" w:ascii="宋体" w:hAnsi="宋体" w:eastAsia="宋体" w:cs="宋体"/>
                <w:i w:val="0"/>
                <w:iCs w:val="0"/>
                <w:color w:val="000000"/>
                <w:kern w:val="0"/>
                <w:sz w:val="20"/>
                <w:szCs w:val="20"/>
                <w:u w:val="none"/>
                <w:lang w:val="en-US" w:eastAsia="zh-CN" w:bidi="ar"/>
              </w:rPr>
              <w:t>%</w:t>
            </w:r>
          </w:p>
        </w:tc>
        <w:tc>
          <w:tcPr>
            <w:tcW w:w="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00"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6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246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开展培训成本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&lt;=12.62万元</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=12.62万元</w:t>
            </w:r>
          </w:p>
        </w:tc>
        <w:tc>
          <w:tcPr>
            <w:tcW w:w="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8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6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00"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6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46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提升培训学员素质</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有效提升</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完全达到预期</w:t>
            </w:r>
          </w:p>
        </w:tc>
        <w:tc>
          <w:tcPr>
            <w:tcW w:w="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8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6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00" w:hRule="atLeast"/>
        </w:trPr>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6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46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学员满意度</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99" w:hRule="atLeast"/>
        </w:trPr>
        <w:tc>
          <w:tcPr>
            <w:tcW w:w="918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100.00分</w:t>
            </w:r>
          </w:p>
        </w:tc>
        <w:tc>
          <w:tcPr>
            <w:tcW w:w="16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bl>
    <w:p>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7"/>
          <w:jc w:val="center"/>
        </w:pPr>
        <w:r>
          <w:fldChar w:fldCharType="begin"/>
        </w:r>
        <w:r>
          <w:instrText xml:space="preserve">PAGE   \* MERGEFORMAT</w:instrText>
        </w:r>
        <w:r>
          <w:fldChar w:fldCharType="separate"/>
        </w:r>
        <w:r>
          <w:rPr>
            <w:lang w:val="zh-CN"/>
          </w:rPr>
          <w:t>13</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6F7242"/>
    <w:rsid w:val="007B168A"/>
    <w:rsid w:val="008B2CFE"/>
    <w:rsid w:val="00F26FF6"/>
    <w:rsid w:val="01610122"/>
    <w:rsid w:val="02510197"/>
    <w:rsid w:val="03EC461B"/>
    <w:rsid w:val="07397B77"/>
    <w:rsid w:val="0A9501A2"/>
    <w:rsid w:val="0AD007F3"/>
    <w:rsid w:val="0E3C619F"/>
    <w:rsid w:val="0F6273CA"/>
    <w:rsid w:val="100F38EC"/>
    <w:rsid w:val="106E79EF"/>
    <w:rsid w:val="11170296"/>
    <w:rsid w:val="12C66037"/>
    <w:rsid w:val="12CD1ABC"/>
    <w:rsid w:val="13471461"/>
    <w:rsid w:val="13B90F01"/>
    <w:rsid w:val="155E4C4D"/>
    <w:rsid w:val="181066D2"/>
    <w:rsid w:val="1C671E73"/>
    <w:rsid w:val="1D322C47"/>
    <w:rsid w:val="23616034"/>
    <w:rsid w:val="23696C97"/>
    <w:rsid w:val="24480FA2"/>
    <w:rsid w:val="25227A45"/>
    <w:rsid w:val="25D249DD"/>
    <w:rsid w:val="26AC3A6A"/>
    <w:rsid w:val="2B9D7E25"/>
    <w:rsid w:val="2C7C7A3B"/>
    <w:rsid w:val="2F364819"/>
    <w:rsid w:val="2FD63906"/>
    <w:rsid w:val="32284B56"/>
    <w:rsid w:val="32FE4E9B"/>
    <w:rsid w:val="37215DAE"/>
    <w:rsid w:val="38CA40DD"/>
    <w:rsid w:val="395F2B56"/>
    <w:rsid w:val="3B482032"/>
    <w:rsid w:val="3BBA0580"/>
    <w:rsid w:val="3BECE841"/>
    <w:rsid w:val="3CDE204C"/>
    <w:rsid w:val="3D363C36"/>
    <w:rsid w:val="3E9C3F6D"/>
    <w:rsid w:val="3FF7797D"/>
    <w:rsid w:val="46690BD8"/>
    <w:rsid w:val="47B754CB"/>
    <w:rsid w:val="48E5181B"/>
    <w:rsid w:val="49F70BF1"/>
    <w:rsid w:val="4B4340EE"/>
    <w:rsid w:val="4B6A4867"/>
    <w:rsid w:val="503D507A"/>
    <w:rsid w:val="51FA74D0"/>
    <w:rsid w:val="52AA4A52"/>
    <w:rsid w:val="539D3AD1"/>
    <w:rsid w:val="564711B4"/>
    <w:rsid w:val="59943D66"/>
    <w:rsid w:val="59E051FD"/>
    <w:rsid w:val="59E6355E"/>
    <w:rsid w:val="5A2C0B1E"/>
    <w:rsid w:val="5B821531"/>
    <w:rsid w:val="5BFF6039"/>
    <w:rsid w:val="5D76A616"/>
    <w:rsid w:val="5D7F20B9"/>
    <w:rsid w:val="5DAC7D0E"/>
    <w:rsid w:val="5F98B5AF"/>
    <w:rsid w:val="5FFE8511"/>
    <w:rsid w:val="5FFEACE2"/>
    <w:rsid w:val="609D5BF6"/>
    <w:rsid w:val="61073070"/>
    <w:rsid w:val="61B9080E"/>
    <w:rsid w:val="61DF3FED"/>
    <w:rsid w:val="62606CE8"/>
    <w:rsid w:val="642B176B"/>
    <w:rsid w:val="643EE26D"/>
    <w:rsid w:val="656019A0"/>
    <w:rsid w:val="65F242EE"/>
    <w:rsid w:val="666D7E19"/>
    <w:rsid w:val="68376930"/>
    <w:rsid w:val="68F91E38"/>
    <w:rsid w:val="6B3158B9"/>
    <w:rsid w:val="6BA02A3F"/>
    <w:rsid w:val="6C105349"/>
    <w:rsid w:val="6C1E5A53"/>
    <w:rsid w:val="6D041277"/>
    <w:rsid w:val="6F5C41AC"/>
    <w:rsid w:val="6FAF6C78"/>
    <w:rsid w:val="716167CC"/>
    <w:rsid w:val="718A7AD1"/>
    <w:rsid w:val="72A44BC2"/>
    <w:rsid w:val="7317C656"/>
    <w:rsid w:val="734ED73F"/>
    <w:rsid w:val="73C82B32"/>
    <w:rsid w:val="73F94DAE"/>
    <w:rsid w:val="74220495"/>
    <w:rsid w:val="747D1B6F"/>
    <w:rsid w:val="749E5641"/>
    <w:rsid w:val="74AD0856"/>
    <w:rsid w:val="75C8039D"/>
    <w:rsid w:val="75E329EC"/>
    <w:rsid w:val="76271066"/>
    <w:rsid w:val="77FD8BE9"/>
    <w:rsid w:val="78000AED"/>
    <w:rsid w:val="78036054"/>
    <w:rsid w:val="79A9BD3F"/>
    <w:rsid w:val="7AC5270E"/>
    <w:rsid w:val="7B776F12"/>
    <w:rsid w:val="7BFFFDD0"/>
    <w:rsid w:val="7C336E5F"/>
    <w:rsid w:val="7C8D4919"/>
    <w:rsid w:val="7D7A5F86"/>
    <w:rsid w:val="7E4B683A"/>
    <w:rsid w:val="7E5E656D"/>
    <w:rsid w:val="7E8F2BCB"/>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3"/>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26</Pages>
  <Words>9814</Words>
  <Characters>10126</Characters>
  <Lines>58</Lines>
  <Paragraphs>16</Paragraphs>
  <TotalTime>12</TotalTime>
  <ScaleCrop>false</ScaleCrop>
  <LinksUpToDate>false</LinksUpToDate>
  <CharactersWithSpaces>10140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MJ</cp:lastModifiedBy>
  <dcterms:modified xsi:type="dcterms:W3CDTF">2025-06-30T06:33:43Z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A075C2AEC1C54D1693797747003CB0A9_13</vt:lpwstr>
  </property>
  <property fmtid="{D5CDD505-2E9C-101B-9397-08002B2CF9AE}" pid="4" name="KSOTemplateDocerSaveRecord">
    <vt:lpwstr>eyJoZGlkIjoiYjVmMWVmZmFjNTM3ZTkzNDRjYmFhYzZjYTQzM2FmMWYiLCJ1c2VySWQiOiIzNzcyNjA0NzcifQ==</vt:lpwstr>
  </property>
</Properties>
</file>